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23" w:rsidRDefault="00B77923" w:rsidP="00D27F44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0F33C510" wp14:editId="501BB454">
            <wp:extent cx="1028700" cy="1143000"/>
            <wp:effectExtent l="0" t="0" r="0" b="0"/>
            <wp:docPr id="106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72" cy="114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77923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B77923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B77923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B77923" w:rsidRPr="005D1B32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5D1B32">
        <w:rPr>
          <w:rFonts w:cs="Arial"/>
          <w:b/>
          <w:bCs/>
          <w:sz w:val="36"/>
          <w:szCs w:val="36"/>
        </w:rPr>
        <w:t xml:space="preserve">PREFEITURA MUNICIPAL DE SÃO JOAQUIM </w:t>
      </w:r>
    </w:p>
    <w:p w:rsidR="00B77923" w:rsidRPr="005D1B32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5D1B32">
        <w:rPr>
          <w:rFonts w:cs="Arial"/>
          <w:b/>
          <w:bCs/>
          <w:sz w:val="36"/>
          <w:szCs w:val="36"/>
        </w:rPr>
        <w:t>ESTADO DE SANTA CATARINA</w:t>
      </w:r>
    </w:p>
    <w:p w:rsidR="00B77923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</w:p>
    <w:p w:rsidR="007E55C2" w:rsidRPr="005D1B32" w:rsidRDefault="007E55C2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</w:p>
    <w:p w:rsidR="007E55C2" w:rsidRDefault="006A2CD2" w:rsidP="007E55C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PLANO ANUAL DE AUDITORIAS</w:t>
      </w:r>
    </w:p>
    <w:p w:rsidR="007E55C2" w:rsidRPr="007E55C2" w:rsidRDefault="007E55C2" w:rsidP="007E55C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 SECRETARIA DE CONTROLE INTERNO</w:t>
      </w:r>
      <w:r w:rsidRPr="007E55C2">
        <w:rPr>
          <w:rFonts w:cs="Arial"/>
          <w:b/>
          <w:bCs/>
          <w:sz w:val="32"/>
          <w:szCs w:val="32"/>
        </w:rPr>
        <w:t xml:space="preserve"> </w:t>
      </w:r>
    </w:p>
    <w:p w:rsidR="00B77923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</w:p>
    <w:p w:rsidR="007E55C2" w:rsidRDefault="007E55C2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</w:p>
    <w:p w:rsidR="007E55C2" w:rsidRPr="005D1B32" w:rsidRDefault="007E55C2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</w:p>
    <w:p w:rsidR="00B77923" w:rsidRPr="007E55C2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7E55C2">
        <w:rPr>
          <w:rFonts w:cs="Arial"/>
          <w:b/>
          <w:bCs/>
          <w:sz w:val="20"/>
          <w:szCs w:val="20"/>
        </w:rPr>
        <w:t xml:space="preserve">PREFEITO MUNICIPAL </w:t>
      </w:r>
    </w:p>
    <w:p w:rsidR="00B77923" w:rsidRPr="007E55C2" w:rsidRDefault="00B77923" w:rsidP="008134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7E55C2">
        <w:rPr>
          <w:rFonts w:cs="Arial"/>
          <w:b/>
          <w:bCs/>
          <w:sz w:val="20"/>
          <w:szCs w:val="20"/>
        </w:rPr>
        <w:t>HUMBERTO LUIZ BRIGHENTI</w:t>
      </w:r>
    </w:p>
    <w:p w:rsidR="00B77923" w:rsidRPr="007E55C2" w:rsidRDefault="00B77923" w:rsidP="008134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B77923" w:rsidRPr="007E55C2" w:rsidRDefault="00B77923" w:rsidP="008134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C60B13" w:rsidRDefault="00C60B13" w:rsidP="008134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C60B13" w:rsidRDefault="00C60B13" w:rsidP="008134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B77923" w:rsidRPr="007E55C2" w:rsidRDefault="00B77923" w:rsidP="008134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7E55C2">
        <w:rPr>
          <w:rFonts w:cs="Arial"/>
          <w:b/>
          <w:bCs/>
          <w:sz w:val="20"/>
          <w:szCs w:val="20"/>
        </w:rPr>
        <w:t>VICE-PREFEITO</w:t>
      </w:r>
    </w:p>
    <w:p w:rsidR="00B77923" w:rsidRPr="007E55C2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7E55C2">
        <w:rPr>
          <w:rFonts w:cs="Arial"/>
          <w:b/>
          <w:bCs/>
          <w:sz w:val="20"/>
          <w:szCs w:val="20"/>
        </w:rPr>
        <w:t>ULADIMIR DEMECIANO</w:t>
      </w:r>
    </w:p>
    <w:p w:rsidR="00B77923" w:rsidRPr="007E55C2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B77923" w:rsidRPr="007E55C2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C60B13" w:rsidRDefault="00C60B1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C60B13" w:rsidRDefault="00C60B1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:rsidR="00B77923" w:rsidRPr="007E55C2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7E55C2">
        <w:rPr>
          <w:rFonts w:cs="Arial"/>
          <w:b/>
          <w:bCs/>
          <w:sz w:val="20"/>
          <w:szCs w:val="20"/>
        </w:rPr>
        <w:t>SECERTÁRIO DE CONTROLE INTERNO</w:t>
      </w:r>
    </w:p>
    <w:p w:rsidR="00B77923" w:rsidRPr="007E55C2" w:rsidRDefault="00B77923" w:rsidP="00B779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7E55C2">
        <w:rPr>
          <w:rFonts w:cs="Arial"/>
          <w:b/>
          <w:bCs/>
          <w:sz w:val="20"/>
          <w:szCs w:val="20"/>
        </w:rPr>
        <w:t>MANOEL NASCIMENTO PEREIRA</w:t>
      </w:r>
    </w:p>
    <w:p w:rsidR="005D1B32" w:rsidRPr="008134D0" w:rsidRDefault="00BB397D" w:rsidP="005D1B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ANO 2016</w:t>
      </w:r>
    </w:p>
    <w:p w:rsidR="00BB397D" w:rsidRDefault="00BB397D" w:rsidP="008134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BB397D" w:rsidRDefault="00BB397D" w:rsidP="008134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B77923" w:rsidRDefault="005D1B32" w:rsidP="008134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INTRODUÇÃO</w:t>
      </w:r>
    </w:p>
    <w:p w:rsidR="005D1B32" w:rsidRDefault="005D1B32" w:rsidP="008134D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:rsidR="007E55C2" w:rsidRPr="00BB397D" w:rsidRDefault="00BB397D" w:rsidP="00BB3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B397D">
        <w:rPr>
          <w:sz w:val="24"/>
          <w:szCs w:val="24"/>
        </w:rPr>
        <w:t xml:space="preserve">Torna-se necessária a transparência nos atos e contas da Administração Pública, que adquiriram maior divulgação em todas as camadas da sociedade com o advento da Lei de Responsabilidade Fiscal (Lei Complementar n. 101/2000) e posteriormente com a edição da Lei Complementar n. 131/2009. Transparência esta que deve se basear na ampla divulgação das ações emanadas pelo poder público (atos públicos), bem como dos valores despendidos para custear tais ações (contas públicas), </w:t>
      </w:r>
      <w:r w:rsidR="00692F6D" w:rsidRPr="00BB397D">
        <w:rPr>
          <w:sz w:val="24"/>
          <w:szCs w:val="24"/>
        </w:rPr>
        <w:t>acompanhada da devida documentação comprobatória</w:t>
      </w:r>
      <w:r w:rsidRPr="00BB397D">
        <w:rPr>
          <w:sz w:val="24"/>
          <w:szCs w:val="24"/>
        </w:rPr>
        <w:t>. Com a recente edição da Lei n. 12.527 de 18/11/2011, Lei de Acesso à Informação, amplia-se a participação cidadã fortalecendo os instrumentos de controle da gestão pública. Os procedimentos previstos na lei visam assegurar o direito fundamental de acesso à informação devendo ser executados em conformidade com os princípios da Administração Pública e com as diretrizes dispostas na norma.</w:t>
      </w:r>
    </w:p>
    <w:p w:rsidR="00BB397D" w:rsidRPr="00BB397D" w:rsidRDefault="00BB397D" w:rsidP="00BB3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BB397D">
        <w:rPr>
          <w:sz w:val="24"/>
          <w:szCs w:val="24"/>
        </w:rPr>
        <w:t xml:space="preserve">Ressalta-se que a participação popular tem à sua disposição ouvidorias, disque-denúncias, os Tribunais de Contas, o Ministério Público, a Polícia e tantos outros meios. Portanto, é necessário ir além, como por exemplo, exigir a reestruturação e fortalecimento do controle interno a partir dos municípios. Embora existisse a controvérsia de que o controle interno não havia sido regulamentado antes da vigência da LRF, registra-se a seguir sua cronologia: 1964 – Marco inicial do controle interno quando a Lei n. 4.320/64, Lei Federal contendo normas gerais de Direito Financeiro, criou as expressões Controle Interno e Controle Externo. A norma instituiu o controle interno no âmbito da Administração em seus </w:t>
      </w:r>
      <w:proofErr w:type="spellStart"/>
      <w:r w:rsidRPr="00BB397D">
        <w:rPr>
          <w:sz w:val="24"/>
          <w:szCs w:val="24"/>
        </w:rPr>
        <w:t>arts</w:t>
      </w:r>
      <w:proofErr w:type="spellEnd"/>
      <w:r w:rsidRPr="00BB397D">
        <w:rPr>
          <w:sz w:val="24"/>
          <w:szCs w:val="24"/>
        </w:rPr>
        <w:t>. 76 a 80. 1967 – O Decreto-Lei n. 200/67 prevê a atuação do controle das atividades da Administração Federal em todos os níveis e em todos os órgãos, para fiscalizar a utilização de recursos e a execução de programas. Com o advento da Constituição Federal de 1967, consolida-se a atividade de fiscalização da gestão dos recursos públicos. 1988 – A Constituição Federal de 1988 traz a grande novidade: a criação do Sistema de Controle Interno que deve ser mantido, de forma integrada, por cada Poder da Federação (</w:t>
      </w:r>
      <w:proofErr w:type="gramStart"/>
      <w:r w:rsidRPr="00BB397D">
        <w:rPr>
          <w:sz w:val="24"/>
          <w:szCs w:val="24"/>
        </w:rPr>
        <w:t>Legislativo, Executivo</w:t>
      </w:r>
      <w:proofErr w:type="gramEnd"/>
      <w:r w:rsidRPr="00BB397D">
        <w:rPr>
          <w:sz w:val="24"/>
          <w:szCs w:val="24"/>
        </w:rPr>
        <w:t xml:space="preserve"> e Judiciário). Preceitua-se que uma das funções atribuídas aos responsáveis pelo Controle Interno é a de apoiar o Controle Externo no exercício de sua missão institucional, dando ciência ao Tribunal de Contas de qualquer irregularidade ou ilegalidade observada na gestão dos recursos públicos, </w:t>
      </w:r>
      <w:proofErr w:type="gramStart"/>
      <w:r w:rsidRPr="00BB397D">
        <w:rPr>
          <w:sz w:val="24"/>
          <w:szCs w:val="24"/>
        </w:rPr>
        <w:t>sob pena</w:t>
      </w:r>
      <w:proofErr w:type="gramEnd"/>
      <w:r w:rsidRPr="00BB397D">
        <w:rPr>
          <w:sz w:val="24"/>
          <w:szCs w:val="24"/>
        </w:rPr>
        <w:t xml:space="preserve"> de responsabilidade solidária (art. 70 e art. 74, IV, § 1º - CF/88). Observa-se que as atribuições de fiscalização e controle já não são mais exclusivas do Controle Externo (exercido pelo Poder Legislativo, com o auxílio do Tribunal de Contas), mas também do Controle Interno de cada Poder (</w:t>
      </w:r>
      <w:proofErr w:type="gramStart"/>
      <w:r w:rsidRPr="00BB397D">
        <w:rPr>
          <w:sz w:val="24"/>
          <w:szCs w:val="24"/>
        </w:rPr>
        <w:t>Executivo, Legislativo</w:t>
      </w:r>
      <w:proofErr w:type="gramEnd"/>
      <w:r w:rsidRPr="00BB397D">
        <w:rPr>
          <w:sz w:val="24"/>
          <w:szCs w:val="24"/>
        </w:rPr>
        <w:t xml:space="preserve"> e Judiciário). 1989 – A exemplo da Constituição Federal, a Constituição Estadual prevê que a fiscalização contábil, financeira, orçamentária, operacional e patrimonial dos poderes/órgãos e de todas as entidades da administração direta e indireta, quanto aos aspectos de legalidade, legitimidade e economicidade, assim como a aplicação das subvenções e renúncia de receitas, será </w:t>
      </w:r>
      <w:proofErr w:type="gramStart"/>
      <w:r w:rsidRPr="00BB397D">
        <w:rPr>
          <w:sz w:val="24"/>
          <w:szCs w:val="24"/>
        </w:rPr>
        <w:t>exercida</w:t>
      </w:r>
      <w:proofErr w:type="gramEnd"/>
      <w:r w:rsidRPr="00BB397D">
        <w:rPr>
          <w:sz w:val="24"/>
          <w:szCs w:val="24"/>
        </w:rPr>
        <w:t xml:space="preserve"> pelo Poder Legislativo Municipal, mediante controle externo, e pelos sistemas de controle interno que, de forma integrada, serão mantidos pelo próprio poder e a entidade envolvida (</w:t>
      </w:r>
      <w:proofErr w:type="spellStart"/>
      <w:r w:rsidRPr="00BB397D">
        <w:rPr>
          <w:sz w:val="24"/>
          <w:szCs w:val="24"/>
        </w:rPr>
        <w:t>arts</w:t>
      </w:r>
      <w:proofErr w:type="spellEnd"/>
      <w:r w:rsidRPr="00BB397D">
        <w:rPr>
          <w:sz w:val="24"/>
          <w:szCs w:val="24"/>
        </w:rPr>
        <w:t xml:space="preserve">. 73, §1º inciso I, 74 e 81). 2000 – A Lei de Responsabilidade Fiscal – LRF, Lei Complementar n. 101/2000, prevê a obrigatoriedade da </w:t>
      </w:r>
      <w:r w:rsidRPr="00BB397D">
        <w:rPr>
          <w:sz w:val="24"/>
          <w:szCs w:val="24"/>
        </w:rPr>
        <w:lastRenderedPageBreak/>
        <w:t xml:space="preserve">participação do responsável pelo controle interno nos relatórios de gestão fiscal (controles de limites de despesas, empenhos e dívidas - art. </w:t>
      </w:r>
      <w:proofErr w:type="gramStart"/>
      <w:r w:rsidRPr="00BB397D">
        <w:rPr>
          <w:sz w:val="24"/>
          <w:szCs w:val="24"/>
        </w:rPr>
        <w:t>54, parágrafo</w:t>
      </w:r>
      <w:proofErr w:type="gramEnd"/>
      <w:r w:rsidRPr="00BB397D">
        <w:rPr>
          <w:sz w:val="24"/>
          <w:szCs w:val="24"/>
        </w:rPr>
        <w:t xml:space="preserve"> único e art. 59).</w:t>
      </w:r>
    </w:p>
    <w:p w:rsidR="00BB397D" w:rsidRPr="00BB397D" w:rsidRDefault="00BB397D" w:rsidP="00BB39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BB397D" w:rsidRDefault="00BB397D" w:rsidP="00A658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E55C2" w:rsidRDefault="007E55C2" w:rsidP="007E55C2">
      <w:pPr>
        <w:pStyle w:val="Ttulo1"/>
        <w:jc w:val="center"/>
        <w:rPr>
          <w:rFonts w:asciiTheme="minorHAnsi" w:eastAsia="Times New Roman" w:hAnsiTheme="minorHAnsi" w:cs="Times New Roman"/>
          <w:bCs w:val="0"/>
          <w:color w:val="auto"/>
          <w:sz w:val="24"/>
          <w:szCs w:val="24"/>
          <w:lang w:eastAsia="pt-BR"/>
        </w:rPr>
      </w:pPr>
      <w:r w:rsidRPr="007E55C2">
        <w:rPr>
          <w:rFonts w:asciiTheme="minorHAnsi" w:hAnsiTheme="minorHAnsi" w:cs="Times New Roman"/>
          <w:color w:val="auto"/>
          <w:sz w:val="24"/>
          <w:szCs w:val="24"/>
        </w:rPr>
        <w:t xml:space="preserve">LEI MUNICIPAL </w:t>
      </w:r>
      <w:r w:rsidRPr="007E55C2">
        <w:rPr>
          <w:rFonts w:asciiTheme="minorHAnsi" w:eastAsia="Times New Roman" w:hAnsiTheme="minorHAnsi" w:cs="Times New Roman"/>
          <w:bCs w:val="0"/>
          <w:color w:val="auto"/>
          <w:sz w:val="24"/>
          <w:szCs w:val="24"/>
          <w:lang w:eastAsia="pt-BR"/>
        </w:rPr>
        <w:t>LEI Nº 2.683/2005</w:t>
      </w:r>
    </w:p>
    <w:p w:rsidR="007E55C2" w:rsidRDefault="007E55C2" w:rsidP="007E55C2">
      <w:pPr>
        <w:rPr>
          <w:lang w:eastAsia="pt-BR"/>
        </w:rPr>
      </w:pP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CAPÍTULO I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DA ORGANIZAÇÃO SISTÊMICA DO CONTROLE INTERNO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1º -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Fica instituído o Sistema de Controle Interno do Município de São Joaquim - SC, abrangendo a administração direta e indireta do Poder Executivo e o Poder Legislativo, nos termos do que </w:t>
      </w:r>
      <w:proofErr w:type="gramStart"/>
      <w:r w:rsidRPr="007E55C2">
        <w:rPr>
          <w:rFonts w:eastAsia="Times New Roman" w:cs="Times New Roman"/>
          <w:i/>
          <w:sz w:val="24"/>
          <w:szCs w:val="20"/>
          <w:lang w:eastAsia="pt-BR"/>
        </w:rPr>
        <w:t>dispõe</w:t>
      </w:r>
      <w:proofErr w:type="gramEnd"/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os artigos 31, 70 e 74 da Constituição da República, combinados com o art. 113, II da Constituição do Estado de Santa Catarina, o artigo 36, Inciso I e III da Lei Orgânica do Município de São Joaquim - SC, e de acordo com as disposições da presente Lei.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CAPÍTULO II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DAS FINALIDADES DO SISTEMA DE CONTROLE INTERNO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2º -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O Sistema de Controle Interno do Município de São Joaquim, com atuação prévia, concomitante e posterior aos atos administrativos, visa </w:t>
      </w:r>
      <w:proofErr w:type="gramStart"/>
      <w:r w:rsidRPr="007E55C2">
        <w:rPr>
          <w:rFonts w:eastAsia="Times New Roman" w:cs="Times New Roman"/>
          <w:i/>
          <w:sz w:val="24"/>
          <w:szCs w:val="20"/>
          <w:lang w:eastAsia="pt-BR"/>
        </w:rPr>
        <w:t>a</w:t>
      </w:r>
      <w:proofErr w:type="gramEnd"/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avaliação das ações governamentais e gestão fiscal dos administradores municipais, por intermédio da fiscalização contábil, financeira, orçamentária, operacional e patrimonial, visando o cumprimento dos princípios da </w:t>
      </w:r>
      <w:r w:rsidRPr="007E55C2">
        <w:rPr>
          <w:rFonts w:eastAsia="Times New Roman" w:cs="Times New Roman"/>
          <w:i/>
          <w:sz w:val="24"/>
          <w:szCs w:val="24"/>
          <w:lang w:eastAsia="pt-BR"/>
        </w:rPr>
        <w:t>legalidade, impessoalidade, moralidade, publicidade e eficiência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>, através de verificações básicas de aplicações dos recursos públicos e, em especial, nas seguintes atribuições: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4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 xml:space="preserve">I – avaliar, no mínimo por exercício financeiro, o cumprimento das metas previstas no Plano Plurianual e Lei de Diretrizes Orçamentárias, a execução dos programas de governo e os orçamentos do Município;                                                                                                    </w:t>
      </w:r>
    </w:p>
    <w:p w:rsidR="007E55C2" w:rsidRPr="007E55C2" w:rsidRDefault="007E55C2" w:rsidP="007E55C2">
      <w:pPr>
        <w:keepLines/>
        <w:widowControl w:val="0"/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4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II – comprovar a legalidade e avaliar os resultados, quanto à eficácia e eficiência, da gestão orçamentária, financeira e patrimonial nos órgãos e entidades da administração municipal, bem como da aplicação de recursos públicos por entidades de direito privado;</w:t>
      </w:r>
    </w:p>
    <w:p w:rsidR="007E55C2" w:rsidRPr="007E55C2" w:rsidRDefault="007E55C2" w:rsidP="007E55C2">
      <w:pPr>
        <w:keepLines/>
        <w:widowControl w:val="0"/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lastRenderedPageBreak/>
        <w:t>III – colaborar e controlar o alcance do atingimento das metas fiscais de resultados primário e nominal;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IV - colaborar e controlar o alcance do atingimento das metas físicas das ações de governo e os resultados dos programas de governo através dos indicadores de desempenho indicados no plano plurianual, quanto à eficácia, a eficiência e a efetividade da gestão nos órgãos e nas entidades da Administração Pública Municipal;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V - comprovar a legitimidade dos atos de gestão; 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VI - exercer o controle das operações de crédito, avais e garantias, bem como dos direitos e haveres do Município; 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VII - apoiar o controle externo no exercício de sua missão institucional;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VIII – supervisionar as medidas adotadas pelos Poderes para o retorno da despesa total com pessoal ao respectivo limite, caso necessário, nos termos dos </w:t>
      </w:r>
      <w:proofErr w:type="spellStart"/>
      <w:r w:rsidRPr="007E55C2">
        <w:rPr>
          <w:rFonts w:eastAsia="Times New Roman" w:cs="Times New Roman"/>
          <w:i/>
          <w:sz w:val="24"/>
          <w:szCs w:val="20"/>
          <w:lang w:eastAsia="pt-BR"/>
        </w:rPr>
        <w:t>arts</w:t>
      </w:r>
      <w:proofErr w:type="spellEnd"/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. 22 e 23 da LC nº 101/2000; 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IX – tomar as providências indicadas pelo Poder Executivo, conforme o disposto no art. 31 da LC 101/2000, para recondução dos montantes das dívidas consolidada e mobiliária aos respectivos limites;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X – efetuar o controle da destinação de recursos obtidos com a alienação de ativos, tendo em vista as restrições da LC nº 101/2000; 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XI – realizar o controle sobre o cumprimento do limite de gastos totais do Poder Legislativo </w:t>
      </w:r>
      <w:r w:rsidR="00F1136C" w:rsidRPr="007E55C2">
        <w:rPr>
          <w:rFonts w:eastAsia="Times New Roman" w:cs="Times New Roman"/>
          <w:i/>
          <w:sz w:val="24"/>
          <w:szCs w:val="20"/>
          <w:lang w:eastAsia="pt-BR"/>
        </w:rPr>
        <w:t>Municipal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>, inclusive no que se refere ao atingimento de metas fiscais, nos termos da Constituição Federal e da LC nº 101/2000, informando-o sobre a necessidade de providências.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4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4"/>
          <w:lang w:eastAsia="pt-BR"/>
        </w:rPr>
        <w:t>Parágrafo Único -</w:t>
      </w:r>
      <w:r w:rsidRPr="007E55C2">
        <w:rPr>
          <w:rFonts w:eastAsia="Times New Roman" w:cs="Times New Roman"/>
          <w:i/>
          <w:sz w:val="24"/>
          <w:szCs w:val="24"/>
          <w:lang w:eastAsia="pt-BR"/>
        </w:rPr>
        <w:t xml:space="preserve"> Qualquer cidadão, partido político, associação ou sindicato é parte legítima para, na forma da lei, denunciar irregularidades ou ilegalidades perante o Sistema de Controle Interno.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3</w:t>
      </w:r>
      <w:r w:rsidRPr="007E55C2">
        <w:rPr>
          <w:rFonts w:eastAsia="Times New Roman" w:cs="Times New Roman"/>
          <w:b/>
          <w:bCs/>
          <w:i/>
          <w:sz w:val="24"/>
          <w:szCs w:val="20"/>
          <w:vertAlign w:val="superscript"/>
          <w:lang w:eastAsia="pt-BR"/>
        </w:rPr>
        <w:t>o -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Ao Sistema de Controle Interno, no desempenho de sua missão institucional de promover e preservar os princípios da legalidade, impessoalidade, moralidade, publicidade e eficiência, caberá realizar, no mínimo, as seguintes ações: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lastRenderedPageBreak/>
        <w:t>I – Controle Contábil, com a finalidade de examinar a correção técnica da escrituração, a legitimidade dos atos e fatos que deram origem aos lançamentos, a formalização dos documentos comprobatórios, medir e avaliar a segurança e eficiência das funções de controle interno, próprias do sistema contábil;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II – Controle da Situação Financeira, com a finalidade de verificar a regularidade e correção dos recebimentos e pagamentos efetuados, conferir os saldos de caixa e de bancos declarados com os existentes, observar o cumprimento das normas internas;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III – Controle da Receita, com a finalidade de verificar a situação existente sobre o lançamento, cobrança e arrecadação das receitas municipais, a compatibilização dos valores da arrecadação com os registrados na Contabilidade e a observância da legislação pertinente;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IV – Controle dos Créditos Orçamentários e Adicionais, com a finalidade de verificar a existência de créditos para a realização da despesa, a regularidade e correção da abertura e utilização dos créditos adicionais e a observância das normas, procedimentos e preceitos legais que regem a execução do orçamento do Município, incluindo os seus fundos especiais;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V – Controle da Despesa, com a finalidade de verificar a observância dos princípios de legalidade, impessoalidade, publicidade e moralidade na realização da despesa pública, bem como se está sendo cumprida a legislação federal e municipal pertinente;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VI – Controle da Administração de Pessoal, com a finalidade de verificar a compatibilização da estrutura do quadro de pessoal à situação existente, as formas de admissão, a regularidade na concessão de direitos e vantagens e da remuneração dos servidores públicos, recrutamentos e seleção, estágio probatório, treinamento e desenvolvimento de recursos humanos, avaliações, promoções, transferências, licenças e a aplicação da legislação própria;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VII – Controle da Administração de Material, cuja finalidade relaciona-se com os almoxarifados e depósitos, objetivando a verificação de condições adequadas de recebimento, armazenamento, distribuição, controle e segurança dos estoques;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4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 xml:space="preserve">VIII – Controle de Bens Permanentes, com a finalidade de </w:t>
      </w:r>
      <w:proofErr w:type="gramStart"/>
      <w:r w:rsidRPr="007E55C2">
        <w:rPr>
          <w:rFonts w:eastAsia="Times New Roman" w:cs="Times New Roman"/>
          <w:i/>
          <w:sz w:val="24"/>
          <w:szCs w:val="24"/>
          <w:lang w:eastAsia="pt-BR"/>
        </w:rPr>
        <w:t>relacionar-se</w:t>
      </w:r>
      <w:proofErr w:type="gramEnd"/>
      <w:r w:rsidRPr="007E55C2">
        <w:rPr>
          <w:rFonts w:eastAsia="Times New Roman" w:cs="Times New Roman"/>
          <w:i/>
          <w:sz w:val="24"/>
          <w:szCs w:val="24"/>
          <w:lang w:eastAsia="pt-BR"/>
        </w:rPr>
        <w:t xml:space="preserve"> almoxarifados e depósitos, objetivando a verificação da guarda, responsabilidade, movimentação, conservação, segurança e uso dos bens públicos municipais permanentes;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IX – Controle sobre Veículos e Máquinas, com a finalidade de verificar a situação das condições gerais de uso dos veículos e máquinas que compõem a frota municipal, a contabilização das despesas com combustível, lubrificantes, peças e serviços dos mesmos, bem como a regularidade da documentação;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4"/>
          <w:lang w:eastAsia="pt-BR"/>
        </w:rPr>
      </w:pP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4"/>
          <w:lang w:eastAsia="pt-BR"/>
        </w:rPr>
      </w:pP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X – Controle de Obras e Serviços, com a finalidade de verificar a compatibilização entre a existência física, o cronograma físico-financeiro e os pagamentos das etapas executadas, o cumprimento das cláusulas contratuais e a observância das plantas e do memorial descritivo;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 xml:space="preserve">XI – Elaboração, com a Administração Municipal, da Lei do Plano Plurianual - PPA, Lei de Diretrizes Orçamentárias – LDO, Lei Orçamentária Anual e demais atos envolvendo a Programação Financeira, Cronograma de Execução </w:t>
      </w:r>
      <w:r w:rsidRPr="007E55C2">
        <w:rPr>
          <w:rFonts w:eastAsia="Times New Roman" w:cs="Times New Roman"/>
          <w:i/>
          <w:sz w:val="24"/>
          <w:szCs w:val="24"/>
          <w:lang w:eastAsia="pt-BR"/>
        </w:rPr>
        <w:lastRenderedPageBreak/>
        <w:t>Mensal de Desembolso, Metas Bimestrais de Arrecadação, bem como outras peças de planejamento a serem exigidas pela legislação vigente e pelos órgãos de controle externo.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4"/>
          <w:lang w:eastAsia="pt-BR"/>
        </w:rPr>
        <w:t>Art. 4° -</w:t>
      </w:r>
      <w:r w:rsidRPr="007E55C2">
        <w:rPr>
          <w:rFonts w:eastAsia="Times New Roman" w:cs="Times New Roman"/>
          <w:i/>
          <w:sz w:val="24"/>
          <w:szCs w:val="24"/>
          <w:lang w:eastAsia="pt-BR"/>
        </w:rPr>
        <w:t xml:space="preserve"> O Relatório de Controle ou Auditorias </w:t>
      </w:r>
      <w:proofErr w:type="spellStart"/>
      <w:r w:rsidRPr="007E55C2">
        <w:rPr>
          <w:rFonts w:eastAsia="Times New Roman" w:cs="Times New Roman"/>
          <w:i/>
          <w:sz w:val="24"/>
          <w:szCs w:val="24"/>
          <w:lang w:eastAsia="pt-BR"/>
        </w:rPr>
        <w:t>exporádicas</w:t>
      </w:r>
      <w:proofErr w:type="spellEnd"/>
      <w:r w:rsidRPr="007E55C2">
        <w:rPr>
          <w:rFonts w:eastAsia="Times New Roman" w:cs="Times New Roman"/>
          <w:i/>
          <w:sz w:val="24"/>
          <w:szCs w:val="24"/>
          <w:lang w:eastAsia="pt-BR"/>
        </w:rPr>
        <w:t xml:space="preserve"> </w:t>
      </w:r>
      <w:r w:rsidRPr="007E55C2">
        <w:rPr>
          <w:rFonts w:eastAsia="Times New Roman" w:cs="Times New Roman"/>
          <w:i/>
          <w:iCs/>
          <w:sz w:val="24"/>
          <w:szCs w:val="24"/>
          <w:lang w:eastAsia="pt-BR"/>
        </w:rPr>
        <w:t xml:space="preserve">in </w:t>
      </w:r>
      <w:proofErr w:type="spellStart"/>
      <w:r w:rsidRPr="007E55C2">
        <w:rPr>
          <w:rFonts w:eastAsia="Times New Roman" w:cs="Times New Roman"/>
          <w:i/>
          <w:iCs/>
          <w:sz w:val="24"/>
          <w:szCs w:val="24"/>
          <w:lang w:eastAsia="pt-BR"/>
        </w:rPr>
        <w:t>locco</w:t>
      </w:r>
      <w:proofErr w:type="spellEnd"/>
      <w:r w:rsidRPr="007E55C2">
        <w:rPr>
          <w:rFonts w:eastAsia="Times New Roman" w:cs="Times New Roman"/>
          <w:i/>
          <w:sz w:val="24"/>
          <w:szCs w:val="24"/>
          <w:lang w:eastAsia="pt-BR"/>
        </w:rPr>
        <w:t xml:space="preserve"> será composto, basicamente, pelos seguintes tópicos: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 xml:space="preserve">I – preâmbulo, informando o órgão, unidade </w:t>
      </w:r>
      <w:proofErr w:type="gramStart"/>
      <w:r w:rsidRPr="007E55C2">
        <w:rPr>
          <w:rFonts w:eastAsia="Times New Roman" w:cs="Times New Roman"/>
          <w:i/>
          <w:sz w:val="24"/>
          <w:szCs w:val="24"/>
          <w:lang w:eastAsia="pt-BR"/>
        </w:rPr>
        <w:t>administrativa ou fundo especial auditado</w:t>
      </w:r>
      <w:proofErr w:type="gramEnd"/>
      <w:r w:rsidRPr="007E55C2">
        <w:rPr>
          <w:rFonts w:eastAsia="Times New Roman" w:cs="Times New Roman"/>
          <w:i/>
          <w:sz w:val="24"/>
          <w:szCs w:val="24"/>
          <w:lang w:eastAsia="pt-BR"/>
        </w:rPr>
        <w:t xml:space="preserve">, objetivo, período auditado, número </w:t>
      </w:r>
      <w:proofErr w:type="spellStart"/>
      <w:r w:rsidRPr="007E55C2">
        <w:rPr>
          <w:rFonts w:eastAsia="Times New Roman" w:cs="Times New Roman"/>
          <w:i/>
          <w:sz w:val="24"/>
          <w:szCs w:val="24"/>
          <w:lang w:eastAsia="pt-BR"/>
        </w:rPr>
        <w:t>seqüencial</w:t>
      </w:r>
      <w:proofErr w:type="spellEnd"/>
      <w:r w:rsidRPr="007E55C2">
        <w:rPr>
          <w:rFonts w:eastAsia="Times New Roman" w:cs="Times New Roman"/>
          <w:i/>
          <w:sz w:val="24"/>
          <w:szCs w:val="24"/>
          <w:lang w:eastAsia="pt-BR"/>
        </w:rPr>
        <w:t xml:space="preserve"> do Relatório;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II – Sumário, com a descrição sucinta do trabalho de auditoria interna realizada;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III – Resultado de Auditoria, expondo os fatos de forma precisa, eficiente e autêntica, inclusive por meio de gráficos, tabelas, mapas, relações, fluxogramas, organogramas, memoriais, originais ou cópias de documentos;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IV – Recomendação formulada com clareza, precisão, práticas e apropriadas, devidamente fundamentadas;</w:t>
      </w:r>
    </w:p>
    <w:p w:rsidR="007E55C2" w:rsidRPr="007E55C2" w:rsidRDefault="007E55C2" w:rsidP="007E55C2">
      <w:pPr>
        <w:spacing w:after="0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4"/>
          <w:lang w:eastAsia="pt-BR"/>
        </w:rPr>
        <w:t>V – Conclusão, que tem a finalidade de captar e reter todas as informações, levantamentos e recomendações da Auditoria, para que os seus objetivos e resultados sejam alcançados.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CAPÍTULO III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DA ORGANIZAÇÃO DO SISTEMA DE CONTROLE INTERNO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Seção I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Da Coordenação do Sistema de Controle Interno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5º -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Integram o Sistema de Controle Interno do Município todos os órgãos e agentes públicos da administração direta e das entidades da administração indireta.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6º -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A Secretaria de Controle Interno se constituirá em unidade administrativa com independência profissional para o desempenho de suas atribuições de controle em todos os órgãos e entidades da administração municipal.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7º -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A coordenação das atividades do Sistema de Controle Interno será exercida pela Secretaria de Controle Interno, como órgão central, com o auxílio dos serviços seccionais de controle interno. 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§ 1º Os serviços seccionais da Secretaria de Controle Interno são serviços de controles sujeitos à orientação normativa e à supervisão técnica do Órgão Central do Sistema, sem </w:t>
      </w:r>
      <w:proofErr w:type="gramStart"/>
      <w:r w:rsidRPr="007E55C2">
        <w:rPr>
          <w:rFonts w:eastAsia="Times New Roman" w:cs="Times New Roman"/>
          <w:i/>
          <w:sz w:val="24"/>
          <w:szCs w:val="20"/>
          <w:lang w:eastAsia="pt-BR"/>
        </w:rPr>
        <w:t>prejuízo da subordinação aos órgãos em cujas estruturas administrativas estiverem integrados</w:t>
      </w:r>
      <w:proofErr w:type="gramEnd"/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. 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lastRenderedPageBreak/>
        <w:t>§ 2º. Para o desempenho de suas atribuições constitucionais e as previstas nesta Lei Complementar, o Secretario de Controle Interno poderá emitir instruções normativas, de observância obrigatória no Município, com a finalidade de estabelecer a padronização sobre a forma de controle interno e esclarecer dúvidas.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§ 3º. Os Sistemas de Controle Interno que por ventura sejam instituídos pelo Poder Legislativo ou pelas entidades da administração indireta, com a indicação do respectivo responsável no órgão e na entidade, para o controle de seus recursos orçamentários e financeiros, serão considerados como serviços seccionais da Secretaria de Controle Interno.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§ 4º. As unidades setoriais do Legislativo e da administração indireta relacionam-se com a Secretaria de Controle Interno no que diz respeito às instruções e orientações normativas de caráter técnico-administrativo, e ficam adstritas às auditorias e às demais formas de controle administrativo instituídas por aquela unidade com o objetivo de proteger o patrimônio público contra erros, fraudes e desperdícios.</w:t>
      </w:r>
    </w:p>
    <w:p w:rsidR="007E55C2" w:rsidRPr="00140BAE" w:rsidRDefault="007E55C2" w:rsidP="00140BAE">
      <w:pPr>
        <w:shd w:val="clear" w:color="auto" w:fill="808080" w:themeFill="background1" w:themeFillShade="80"/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140BAE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8º -</w:t>
      </w:r>
      <w:r w:rsidRPr="00140BAE">
        <w:rPr>
          <w:rFonts w:eastAsia="Times New Roman" w:cs="Times New Roman"/>
          <w:i/>
          <w:sz w:val="24"/>
          <w:szCs w:val="20"/>
          <w:lang w:eastAsia="pt-BR"/>
        </w:rPr>
        <w:t xml:space="preserve"> Constituem-se em garantias do ocupante da Função de Secretario de Controle Interno e dos servidores que integrarem a Unidade:</w:t>
      </w:r>
    </w:p>
    <w:p w:rsidR="007E55C2" w:rsidRPr="00140BAE" w:rsidRDefault="007E55C2" w:rsidP="00140BAE">
      <w:pPr>
        <w:shd w:val="clear" w:color="auto" w:fill="808080" w:themeFill="background1" w:themeFillShade="80"/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140BAE">
        <w:rPr>
          <w:rFonts w:eastAsia="Times New Roman" w:cs="Times New Roman"/>
          <w:i/>
          <w:sz w:val="24"/>
          <w:szCs w:val="20"/>
          <w:lang w:eastAsia="pt-BR"/>
        </w:rPr>
        <w:t>I – a independência profissional para o desempenho das atividades na administração direta e indireta;</w:t>
      </w:r>
    </w:p>
    <w:p w:rsidR="007E55C2" w:rsidRPr="00140BAE" w:rsidRDefault="007E55C2" w:rsidP="00140BAE">
      <w:pPr>
        <w:shd w:val="clear" w:color="auto" w:fill="808080" w:themeFill="background1" w:themeFillShade="80"/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140BAE">
        <w:rPr>
          <w:rFonts w:eastAsia="Times New Roman" w:cs="Times New Roman"/>
          <w:i/>
          <w:sz w:val="24"/>
          <w:szCs w:val="20"/>
          <w:lang w:eastAsia="pt-BR"/>
        </w:rPr>
        <w:t>II – o acesso a documentos e banco de dados indispensáveis ao exercício das funções de controle interno;</w:t>
      </w:r>
    </w:p>
    <w:p w:rsidR="007E55C2" w:rsidRPr="00140BAE" w:rsidRDefault="007E55C2" w:rsidP="00140BAE">
      <w:pPr>
        <w:shd w:val="clear" w:color="auto" w:fill="808080" w:themeFill="background1" w:themeFillShade="80"/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140BAE">
        <w:rPr>
          <w:rFonts w:eastAsia="Times New Roman" w:cs="Times New Roman"/>
          <w:i/>
          <w:sz w:val="24"/>
          <w:szCs w:val="20"/>
          <w:lang w:eastAsia="pt-BR"/>
        </w:rPr>
        <w:t>III – a impossibilidade de destituição da função no último ano do mandato do Chefe do Poder Executivo até a data da prestação de contas do exercício do último ano do mandato ao Poder Legislativo.</w:t>
      </w:r>
    </w:p>
    <w:p w:rsidR="007E55C2" w:rsidRPr="00140BAE" w:rsidRDefault="007E55C2" w:rsidP="00140BAE">
      <w:pPr>
        <w:shd w:val="clear" w:color="auto" w:fill="808080" w:themeFill="background1" w:themeFillShade="80"/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140BAE">
        <w:rPr>
          <w:rFonts w:eastAsia="Times New Roman" w:cs="Times New Roman"/>
          <w:i/>
          <w:sz w:val="24"/>
          <w:szCs w:val="20"/>
          <w:lang w:eastAsia="pt-BR"/>
        </w:rPr>
        <w:t xml:space="preserve">§ 1º Verificando-se embaraço, constrangimento ou obstáculo à atuação da Unidade Central de Controle Interno no desempenho de suas funções institucionais, por qualquer Agente Público, por ação ou omissão, caberá ao Secretario de Controle Interno formalizar denúncia à Câmara Municipal de Vereadores, Tribunal de Contas e Ministério Público para adoção de providências cabíveis. </w:t>
      </w:r>
    </w:p>
    <w:p w:rsidR="007E55C2" w:rsidRPr="00140BAE" w:rsidRDefault="007E55C2" w:rsidP="00140BAE">
      <w:pPr>
        <w:shd w:val="clear" w:color="auto" w:fill="808080" w:themeFill="background1" w:themeFillShade="80"/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140BAE">
        <w:rPr>
          <w:rFonts w:eastAsia="Times New Roman" w:cs="Times New Roman"/>
          <w:i/>
          <w:sz w:val="24"/>
          <w:szCs w:val="20"/>
          <w:lang w:eastAsia="pt-BR"/>
        </w:rPr>
        <w:t>§ 2º Quando a documentação ou informação prevista no inciso II deste artigo envolver assuntos de caráter sigiloso</w:t>
      </w:r>
      <w:r w:rsidR="003916B8" w:rsidRPr="00140BAE">
        <w:rPr>
          <w:rFonts w:eastAsia="Times New Roman" w:cs="Times New Roman"/>
          <w:i/>
          <w:sz w:val="24"/>
          <w:szCs w:val="20"/>
          <w:lang w:eastAsia="pt-BR"/>
        </w:rPr>
        <w:t xml:space="preserve"> deverá</w:t>
      </w:r>
      <w:r w:rsidRPr="00140BAE">
        <w:rPr>
          <w:rFonts w:eastAsia="Times New Roman" w:cs="Times New Roman"/>
          <w:i/>
          <w:sz w:val="24"/>
          <w:szCs w:val="20"/>
          <w:lang w:eastAsia="pt-BR"/>
        </w:rPr>
        <w:t xml:space="preserve"> ser dispensado tratamento especial de acordo com o estabelecido em regulamento.</w:t>
      </w:r>
    </w:p>
    <w:p w:rsidR="007E55C2" w:rsidRPr="00140BAE" w:rsidRDefault="007E55C2" w:rsidP="00140BAE">
      <w:pPr>
        <w:shd w:val="clear" w:color="auto" w:fill="808080" w:themeFill="background1" w:themeFillShade="80"/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140BAE">
        <w:rPr>
          <w:rFonts w:eastAsia="Times New Roman" w:cs="Times New Roman"/>
          <w:i/>
          <w:sz w:val="24"/>
          <w:szCs w:val="20"/>
          <w:lang w:eastAsia="pt-BR"/>
        </w:rPr>
        <w:t xml:space="preserve">§ 3º Os servidores deverão guardar sigilo sobre dados e informações pertinentes aos assuntos a que tiverem acesso em decorrência do exercício de suas funções, utilizando-os, exclusivamente, para a elaboração de pareceres e relatórios destinados à autoridade competente, </w:t>
      </w:r>
      <w:proofErr w:type="gramStart"/>
      <w:r w:rsidRPr="00140BAE">
        <w:rPr>
          <w:rFonts w:eastAsia="Times New Roman" w:cs="Times New Roman"/>
          <w:i/>
          <w:sz w:val="24"/>
          <w:szCs w:val="20"/>
          <w:lang w:eastAsia="pt-BR"/>
        </w:rPr>
        <w:t>sob pena</w:t>
      </w:r>
      <w:proofErr w:type="gramEnd"/>
      <w:r w:rsidRPr="00140BAE">
        <w:rPr>
          <w:rFonts w:eastAsia="Times New Roman" w:cs="Times New Roman"/>
          <w:i/>
          <w:sz w:val="24"/>
          <w:szCs w:val="20"/>
          <w:lang w:eastAsia="pt-BR"/>
        </w:rPr>
        <w:t xml:space="preserve"> de responsabilidade.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lastRenderedPageBreak/>
        <w:t>Seção II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Da Competência da Secretaria do Controle Interno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9° -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Para o desempenho das atribuições previstas no artigo 2</w:t>
      </w:r>
      <w:r w:rsidRPr="007E55C2">
        <w:rPr>
          <w:rFonts w:eastAsia="Times New Roman" w:cs="Times New Roman"/>
          <w:i/>
          <w:sz w:val="24"/>
          <w:szCs w:val="20"/>
          <w:vertAlign w:val="superscript"/>
          <w:lang w:eastAsia="pt-BR"/>
        </w:rPr>
        <w:t>o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</w:t>
      </w:r>
      <w:proofErr w:type="gramStart"/>
      <w:r w:rsidRPr="007E55C2">
        <w:rPr>
          <w:rFonts w:eastAsia="Times New Roman" w:cs="Times New Roman"/>
          <w:i/>
          <w:sz w:val="24"/>
          <w:szCs w:val="20"/>
          <w:lang w:eastAsia="pt-BR"/>
        </w:rPr>
        <w:t>da presente</w:t>
      </w:r>
      <w:proofErr w:type="gramEnd"/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Lei Complementar, a Secretaria de Controle Interno: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I – determinará, quando necessário, a realização de inspeção ou auditoria sobre a gestão dos recursos públicos municipais sob a responsabilidade de órgãos e entidades públicos e privados; 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II – disporá sobre a necessidade da instauração de serviços seccionais de controle interno na administração direta e indireta, ficando, todavia, a designação dos servidores a cargo dos responsáveis pelos respectivos órgãos e entidades;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III – utilizar-se-á de técnicas de controle interno e dos princípios de controle interno da INTOSAI- Organização Internacional de Instituições Superiores de Auditoria;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IV – regulamentará as atividades de controle através de Instruções Normativas, inclusive quanto às denúncias sobre irregularidades ou ilegalidades na Administração Municipal pelos cidadãos, partidos políticos, organizações, associações ou sindicatos.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V – emitirá parecer sobre as contas prestadas ou tomadas por órgãos e entidades relativos a recursos públicos repassados pelo Município;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VI – verificará as prestações de contas dos recursos públicos recebidos pelo Município;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VII – opinará em prestações ou tomada de contas, exigidas por força de legislação.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VIII – deverá criar condições para o exercício do controle social sobre os programas contemplados com recursos oriundos dos orçamentos do Município;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IX – concentrará as consultas a serem formuladas pelos diversos subsistemas de controle do Município;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X – responsabilizar-se-á pela disseminação de informações técnicas e legislação aos subsistemas responsáveis pela elaboração dos serviços.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lastRenderedPageBreak/>
        <w:t>XI – realizará treinamentos aos servidores de departamentos e seccionais integrantes do Sistema de Controle Interno.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§ 1º. O Relatório de Gestão Fiscal do Chefe do Poder Executivo e do Chefe do Poder Legislativo, previsto no art. 54 da LC nº 101/2000, além do respectivo responsável, Contabilista e do Secretário Responsável pela administração financeira, será assinado pelo Coordenador do Sistema de Controle Interno.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§ 2º. As Instruções Normativas de controle interno terão força de regras que, em </w:t>
      </w:r>
      <w:proofErr w:type="gramStart"/>
      <w:r w:rsidRPr="007E55C2">
        <w:rPr>
          <w:rFonts w:eastAsia="Times New Roman" w:cs="Times New Roman"/>
          <w:i/>
          <w:sz w:val="24"/>
          <w:szCs w:val="20"/>
          <w:lang w:eastAsia="pt-BR"/>
        </w:rPr>
        <w:t>sendo descumpridas</w:t>
      </w:r>
      <w:proofErr w:type="gramEnd"/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, importarão em infração disciplinar a ser apurada nos termos da legislação municipal relativa aos servidores. 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§ 3º. As Instruções Normativas que visem regrar procedimentos comuns para mais de uma Unidade Orçamentária deverá, para possuir aplicação cogente em toda a Administração, ser ratificada pelo Prefeito Municipal.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Seção III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Dos Deveres da Secretaria de Controle Interno na Constatação de Irregularidades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10 -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A Secretaria do Controle Interno cientificará o Chefe do Poder Executivo e Legislativo mensalmente sobre o resultado de suas atividades, respectivamente sobre cada Poder, devendo conter, no mínimo: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I – as informações, consideradas anormais, sobre a situação físico-financeira dos projetos e das atividades constantes dos orçamentos do Município; 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II – apuração dos atos ou fatos inquinados por ilegalidades ou irregularidades, praticados por agentes públicos ou privados, na utilização de recursos públicos municipais;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III - avaliar o desempenho das entidades da Administração Indireta do Município;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§ 1º. Constatada irregularidade ou ilegalidade pela Secretaria de Controle, esta cientificará a autoridade responsável para a tomada de providências, devendo, sempre, proporcionar a oportunidade de esclarecimentos sobre os fatos levantados.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lastRenderedPageBreak/>
        <w:t>§ 2º. Não havendo a regularização relativa às irregularidades ou ilegalidades, ou não sendo os esclarecimentos apresentados como suficientes para elidi-las, o fato será documentado e levado a conhecimento do Prefeito Municipal.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§ 3º. Em caso da </w:t>
      </w:r>
      <w:proofErr w:type="gramStart"/>
      <w:r w:rsidRPr="007E55C2">
        <w:rPr>
          <w:rFonts w:eastAsia="Times New Roman" w:cs="Times New Roman"/>
          <w:i/>
          <w:sz w:val="24"/>
          <w:szCs w:val="20"/>
          <w:lang w:eastAsia="pt-BR"/>
        </w:rPr>
        <w:t>não-tomada</w:t>
      </w:r>
      <w:proofErr w:type="gramEnd"/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de providências pelo Prefeito Municipal para a regularização da situação apontada, a Secretaria de Controle Interno comunicará o fato ao Tribunal de Contas do Estado, nos termos do disciplinamento próprio editado pela Corte de Contas, sob pena de responsabilização solidária.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11 -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A Tomada de Contas dos Administradores e responsáveis por bens e direitos do Município e a prestação de contas dos Chefes de Poder será organizada pela Secretaria de Controle Interno.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Parágrafo Único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- Constará da Tomada e Prestação de Contas de que trata este artigo relatório resumido da Secretaria de Controle Interno.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CAPÍTULO IV</w:t>
      </w:r>
    </w:p>
    <w:p w:rsidR="007E55C2" w:rsidRPr="007E55C2" w:rsidRDefault="007E55C2" w:rsidP="007E55C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DAS DISPOSIÇÕES GERAIS E FINAIS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0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12 -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O Poder Executivo estabelecerá, em regulamento, a forma pela qual qualquer cidadão, sindicato ou associação, poderá oferecer denúncias e ser informado sobre a situação do Município relativamente à execução dos orçamentos. 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b/>
          <w:bCs/>
          <w:i/>
          <w:sz w:val="24"/>
          <w:szCs w:val="20"/>
          <w:lang w:eastAsia="pt-BR"/>
        </w:rPr>
        <w:t>Art. 13 -</w:t>
      </w: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A Secretaria de Controle Interno participará, obrigatoriamente:</w:t>
      </w:r>
    </w:p>
    <w:p w:rsidR="00537133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I - dos processos de expansão da informatização do Município, com vistas a proceder à </w:t>
      </w:r>
      <w:proofErr w:type="gramStart"/>
      <w:r w:rsidRPr="007E55C2">
        <w:rPr>
          <w:rFonts w:eastAsia="Times New Roman" w:cs="Times New Roman"/>
          <w:i/>
          <w:sz w:val="24"/>
          <w:szCs w:val="20"/>
          <w:lang w:eastAsia="pt-BR"/>
        </w:rPr>
        <w:t>otimização</w:t>
      </w:r>
      <w:proofErr w:type="gramEnd"/>
      <w:r w:rsidRPr="007E55C2">
        <w:rPr>
          <w:rFonts w:eastAsia="Times New Roman" w:cs="Times New Roman"/>
          <w:i/>
          <w:sz w:val="24"/>
          <w:szCs w:val="20"/>
          <w:lang w:eastAsia="pt-BR"/>
        </w:rPr>
        <w:t xml:space="preserve"> dos serviços prestados pelos subsistemas de controle interno;</w:t>
      </w:r>
    </w:p>
    <w:p w:rsidR="007E55C2" w:rsidRPr="007E55C2" w:rsidRDefault="007E55C2" w:rsidP="007E55C2">
      <w:pPr>
        <w:spacing w:before="100" w:beforeAutospacing="1" w:after="100" w:afterAutospacing="1" w:line="240" w:lineRule="auto"/>
        <w:ind w:firstLine="2251"/>
        <w:jc w:val="both"/>
        <w:rPr>
          <w:rFonts w:eastAsia="Times New Roman" w:cs="Times New Roman"/>
          <w:i/>
          <w:sz w:val="24"/>
          <w:szCs w:val="20"/>
          <w:lang w:eastAsia="pt-BR"/>
        </w:rPr>
      </w:pPr>
      <w:r w:rsidRPr="007E55C2">
        <w:rPr>
          <w:rFonts w:eastAsia="Times New Roman" w:cs="Times New Roman"/>
          <w:i/>
          <w:sz w:val="24"/>
          <w:szCs w:val="20"/>
          <w:lang w:eastAsia="pt-BR"/>
        </w:rPr>
        <w:t>II - da implantação do Controle de Gestão e Programas de Qualidade Total no Município.</w:t>
      </w:r>
    </w:p>
    <w:p w:rsidR="007E55C2" w:rsidRPr="007E55C2" w:rsidRDefault="007E55C2" w:rsidP="007E55C2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p w:rsidR="00BF7FED" w:rsidRPr="007E55C2" w:rsidRDefault="00BF7FED" w:rsidP="00A658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A0944" w:rsidRDefault="002A0944" w:rsidP="004762B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537133" w:rsidRPr="00094BD6" w:rsidRDefault="00094BD6" w:rsidP="004762BB">
      <w:pPr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094BD6">
        <w:rPr>
          <w:rFonts w:ascii="Arial Unicode MS" w:eastAsia="Arial Unicode MS" w:hAnsi="Arial Unicode MS" w:cs="Arial Unicode MS"/>
          <w:b/>
          <w:sz w:val="28"/>
          <w:szCs w:val="28"/>
        </w:rPr>
        <w:lastRenderedPageBreak/>
        <w:t>Sistema de Controle Interno</w:t>
      </w:r>
    </w:p>
    <w:p w:rsidR="00094BD6" w:rsidRDefault="00094BD6" w:rsidP="004762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94BD6" w:rsidRPr="00094BD6" w:rsidRDefault="00094BD6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94BD6">
        <w:rPr>
          <w:sz w:val="24"/>
          <w:szCs w:val="24"/>
        </w:rPr>
        <w:t xml:space="preserve">Pode-se conceituar sistema como um conjunto composto por partes individuais, que têm uma missão em comum, em que cada parte é peça fundamental para o todo. Portanto, Sistema de Controle Interno - SCI é o somatório das atividades de controle exercidas por cada unidade no dia-a-dia em toda a organização. Em um conceito mais amplo, de acordo com a American </w:t>
      </w:r>
      <w:proofErr w:type="spellStart"/>
      <w:r w:rsidRPr="00094BD6">
        <w:rPr>
          <w:sz w:val="24"/>
          <w:szCs w:val="24"/>
        </w:rPr>
        <w:t>Institute</w:t>
      </w:r>
      <w:proofErr w:type="spellEnd"/>
      <w:r w:rsidRPr="00094BD6">
        <w:rPr>
          <w:sz w:val="24"/>
          <w:szCs w:val="24"/>
        </w:rPr>
        <w:t xml:space="preserve"> </w:t>
      </w:r>
      <w:proofErr w:type="spellStart"/>
      <w:r w:rsidRPr="00094BD6">
        <w:rPr>
          <w:sz w:val="24"/>
          <w:szCs w:val="24"/>
        </w:rPr>
        <w:t>of</w:t>
      </w:r>
      <w:proofErr w:type="spellEnd"/>
      <w:r w:rsidRPr="00094BD6">
        <w:rPr>
          <w:sz w:val="24"/>
          <w:szCs w:val="24"/>
        </w:rPr>
        <w:t xml:space="preserve"> </w:t>
      </w:r>
      <w:proofErr w:type="spellStart"/>
      <w:r w:rsidRPr="00094BD6">
        <w:rPr>
          <w:sz w:val="24"/>
          <w:szCs w:val="24"/>
        </w:rPr>
        <w:t>Certified</w:t>
      </w:r>
      <w:proofErr w:type="spellEnd"/>
      <w:r w:rsidRPr="00094BD6">
        <w:rPr>
          <w:sz w:val="24"/>
          <w:szCs w:val="24"/>
        </w:rPr>
        <w:t xml:space="preserve"> </w:t>
      </w:r>
      <w:proofErr w:type="spellStart"/>
      <w:r w:rsidRPr="00094BD6">
        <w:rPr>
          <w:sz w:val="24"/>
          <w:szCs w:val="24"/>
        </w:rPr>
        <w:t>Public</w:t>
      </w:r>
      <w:proofErr w:type="spellEnd"/>
      <w:r w:rsidRPr="00094BD6">
        <w:rPr>
          <w:sz w:val="24"/>
          <w:szCs w:val="24"/>
        </w:rPr>
        <w:t xml:space="preserve"> </w:t>
      </w:r>
      <w:proofErr w:type="spellStart"/>
      <w:r w:rsidRPr="00094BD6">
        <w:rPr>
          <w:sz w:val="24"/>
          <w:szCs w:val="24"/>
        </w:rPr>
        <w:t>Accountants</w:t>
      </w:r>
      <w:proofErr w:type="spellEnd"/>
      <w:r w:rsidRPr="00094BD6">
        <w:rPr>
          <w:sz w:val="24"/>
          <w:szCs w:val="24"/>
        </w:rPr>
        <w:t xml:space="preserve"> – AICPA, o SCI deve ser entendido como: Plano da organização, conjunto de métodos e medidas coordenadas adotadas pela organização para salvaguardar seus ativos, verificar a adequação e confiabilidade de seus dados contábeis, promover a eficiência operacional e estimular o respeito e obediência às políticas administrativas fixadas pela gestão. Neste contexto, o Sistema de Controle Interno na Administração Pública é um conjunto de unidades técnicas orientadas para promover a eficiência e a eficácia nas operações e verificar o cumprimento das políticas estabelecidas em lei, sendo dirigido e coordenado por uma Unidade Central de Controle Interno criada na estrutura de cada órgão no âmbito de cada um dos Poderes Legislativo, Executivo e Judiciário, conforme previsto no art. 74 da Constituição da República.</w:t>
      </w:r>
    </w:p>
    <w:p w:rsidR="00094BD6" w:rsidRDefault="00094BD6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94BD6">
        <w:rPr>
          <w:sz w:val="24"/>
          <w:szCs w:val="24"/>
        </w:rPr>
        <w:t xml:space="preserve">Os objetivos do Sistema de Controle Interno devem estar sempre alinhados com os objetivos da organização, além de: </w:t>
      </w:r>
    </w:p>
    <w:p w:rsidR="00094BD6" w:rsidRPr="002C34B3" w:rsidRDefault="00094BD6" w:rsidP="002C34B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C34B3">
        <w:rPr>
          <w:sz w:val="24"/>
          <w:szCs w:val="24"/>
        </w:rPr>
        <w:t xml:space="preserve">Assegurar que não ocorram erros potenciais, através do controle de suas causas, destacando-se conhecer as receitas, despesas, resultados históricos, estrutura administrativa, pessoal, patrimônio, observar as normas legais, instruções normativas, estatutos e regimentos; </w:t>
      </w:r>
    </w:p>
    <w:p w:rsidR="00094BD6" w:rsidRPr="00CA7B5F" w:rsidRDefault="00094BD6" w:rsidP="00CA7B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A7B5F">
        <w:rPr>
          <w:sz w:val="24"/>
          <w:szCs w:val="24"/>
        </w:rPr>
        <w:t>Acompanhar a programação estabelecida nos instrumentos de planejamento (Planos Plurianuais - PPA, Lei de Diretrizes Orçamentárias - LDO, Leis Orçamentárias Anuais - LOA, Metas Bimestrais de Arrecadação - MBA e Cronogramas Mensais de Desembolso - CMD</w:t>
      </w:r>
      <w:r w:rsidR="00CA7B5F" w:rsidRPr="00CA7B5F">
        <w:rPr>
          <w:sz w:val="24"/>
          <w:szCs w:val="24"/>
        </w:rPr>
        <w:t>)</w:t>
      </w:r>
      <w:r w:rsidRPr="00CA7B5F">
        <w:rPr>
          <w:sz w:val="24"/>
          <w:szCs w:val="24"/>
        </w:rPr>
        <w:t xml:space="preserve">; </w:t>
      </w:r>
    </w:p>
    <w:p w:rsidR="00094BD6" w:rsidRPr="00CA7B5F" w:rsidRDefault="00094BD6" w:rsidP="00CA7B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A7B5F">
        <w:rPr>
          <w:sz w:val="24"/>
          <w:szCs w:val="24"/>
        </w:rPr>
        <w:t xml:space="preserve">Buscar o equilíbrio nas contas públicas e a correta aplicação administrativa e financeira dos recursos públicos; </w:t>
      </w:r>
    </w:p>
    <w:p w:rsidR="00094BD6" w:rsidRPr="00CA7B5F" w:rsidRDefault="00094BD6" w:rsidP="00CA7B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A7B5F">
        <w:rPr>
          <w:sz w:val="24"/>
          <w:szCs w:val="24"/>
        </w:rPr>
        <w:t>Examinar os resultados quanto à economicidade, eficiência e eficácia da gestão orçamentária, financeira, patrimonial, de pessoal e demais sistemas administrativos e operacionais;</w:t>
      </w:r>
    </w:p>
    <w:p w:rsidR="00094BD6" w:rsidRPr="00CA7B5F" w:rsidRDefault="00094BD6" w:rsidP="00CA7B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A7B5F">
        <w:rPr>
          <w:sz w:val="24"/>
          <w:szCs w:val="24"/>
        </w:rPr>
        <w:t xml:space="preserve">Prevenir a ocorrência de fraudes, desvios, desperdícios e erros cometidos por gestores e servidores em geral; </w:t>
      </w:r>
    </w:p>
    <w:p w:rsidR="00094BD6" w:rsidRDefault="00094BD6" w:rsidP="00CA7B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A7B5F">
        <w:rPr>
          <w:sz w:val="24"/>
          <w:szCs w:val="24"/>
        </w:rPr>
        <w:t xml:space="preserve">Buscar o atingimento de metas estabelecidas e prestar contas à sociedade, de forma transparente, condição imposta a todos aqueles que, de alguma forma, gerenciam ou são responsáveis pela guarda de dinheiro ou bens públicos. </w:t>
      </w:r>
    </w:p>
    <w:p w:rsidR="00CA7B5F" w:rsidRDefault="00CA7B5F" w:rsidP="00CA7B5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A7B5F" w:rsidRPr="00CA7B5F" w:rsidRDefault="00CA7B5F" w:rsidP="00CA7B5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094BD6" w:rsidRDefault="00094BD6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94BD6">
        <w:rPr>
          <w:sz w:val="24"/>
          <w:szCs w:val="24"/>
        </w:rPr>
        <w:t xml:space="preserve">A atuação do Sistema de Controle Interno é realizada antes, durante e depois dos atos administrativos, com a finalidade de acompanhar o planejamento realizado, </w:t>
      </w:r>
      <w:proofErr w:type="gramStart"/>
      <w:r w:rsidRPr="00094BD6">
        <w:rPr>
          <w:sz w:val="24"/>
          <w:szCs w:val="24"/>
        </w:rPr>
        <w:t>garantir</w:t>
      </w:r>
      <w:proofErr w:type="gramEnd"/>
      <w:r w:rsidRPr="00094BD6">
        <w:rPr>
          <w:sz w:val="24"/>
          <w:szCs w:val="24"/>
        </w:rPr>
        <w:t xml:space="preserve"> a legitimidade frente aos princípios constitucionais, verificar a adequação às melhores práticas de gestão e garantir que os dados contábeis sejam fidedignos.</w:t>
      </w:r>
    </w:p>
    <w:p w:rsidR="008A155B" w:rsidRDefault="008A155B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8A155B" w:rsidRDefault="008A155B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2A0944" w:rsidRDefault="002A0944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A155B" w:rsidRPr="008A155B" w:rsidRDefault="008A155B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8A155B">
        <w:rPr>
          <w:b/>
          <w:sz w:val="28"/>
          <w:szCs w:val="28"/>
        </w:rPr>
        <w:lastRenderedPageBreak/>
        <w:t>Responsabilidades dos gestores</w:t>
      </w:r>
    </w:p>
    <w:p w:rsidR="008A155B" w:rsidRPr="008A155B" w:rsidRDefault="008A155B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A155B" w:rsidRDefault="008A155B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8A155B" w:rsidRDefault="008A155B" w:rsidP="002C34B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Responsabilidades dos gestores exercer os controles estabelecidos nos diversos sistemas administrativos afetos à sua área de atuação;</w:t>
      </w:r>
    </w:p>
    <w:p w:rsidR="008A155B" w:rsidRDefault="008A155B" w:rsidP="002C34B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Exercer o controle sobre o uso e guarda de bens; </w:t>
      </w:r>
    </w:p>
    <w:p w:rsidR="008A155B" w:rsidRDefault="008A155B" w:rsidP="002C34B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Manter registro de suas operações e adotar manuais e fluxogramas para espelhar as rotinas de procedimentos que consubstanciam suas atividades; </w:t>
      </w:r>
      <w:proofErr w:type="gramStart"/>
      <w:r>
        <w:t>d</w:t>
      </w:r>
      <w:proofErr w:type="gramEnd"/>
    </w:p>
    <w:p w:rsidR="008A155B" w:rsidRDefault="008A155B" w:rsidP="002C34B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Disponibilizar </w:t>
      </w:r>
      <w:proofErr w:type="gramStart"/>
      <w:r>
        <w:t>à</w:t>
      </w:r>
      <w:proofErr w:type="gramEnd"/>
      <w:r>
        <w:t xml:space="preserve"> Unidade Central de Controle Interno, informações, documentos, acesso a sistemas e banco de dados informatizados, além de outros elementos que forem solicitados, para desempenho de suas atribuições;</w:t>
      </w:r>
    </w:p>
    <w:p w:rsidR="008A155B" w:rsidRDefault="008A155B" w:rsidP="002C34B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Comunicar à Unidade Central de Controle Interno qualquer irregularidade ou ilegalidade.</w:t>
      </w:r>
    </w:p>
    <w:p w:rsidR="008A155B" w:rsidRDefault="008A155B" w:rsidP="00094BD6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8A155B" w:rsidRDefault="008A155B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A155B" w:rsidRDefault="008A155B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8A155B">
        <w:rPr>
          <w:b/>
          <w:sz w:val="28"/>
          <w:szCs w:val="28"/>
        </w:rPr>
        <w:t>Unidade Central do Sistema de Controle Interno</w:t>
      </w:r>
    </w:p>
    <w:p w:rsidR="008A155B" w:rsidRDefault="008A155B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A155B" w:rsidRDefault="008A155B" w:rsidP="00094BD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A Unidade Central do Sistema de Controle Interno é a unidade administrativa legalmente criada como responsável pela direção, coordenação dos trabalhos, orientação e acompanhamento do Sistema de Controle Interno. </w:t>
      </w:r>
    </w:p>
    <w:p w:rsidR="008A155B" w:rsidRPr="008A155B" w:rsidRDefault="008A155B" w:rsidP="00094B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t>O foco de atuação da Unidade Central de Controle Interno deve ter caráter orientador e preventivo, auxiliar a gestão e atender a todos os níveis hierárquicos da Administração.</w:t>
      </w:r>
    </w:p>
    <w:p w:rsidR="00094BD6" w:rsidRPr="00094BD6" w:rsidRDefault="00094BD6" w:rsidP="00094B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4BD6" w:rsidRPr="00094BD6" w:rsidRDefault="00094BD6" w:rsidP="00094B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94BD6" w:rsidRPr="00094BD6" w:rsidRDefault="00094BD6" w:rsidP="004762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94BD6" w:rsidRPr="008A155B" w:rsidRDefault="008A155B" w:rsidP="008A155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r w:rsidRPr="008A155B">
        <w:rPr>
          <w:b/>
          <w:sz w:val="28"/>
          <w:szCs w:val="28"/>
        </w:rPr>
        <w:t>Responsabilidades</w:t>
      </w:r>
    </w:p>
    <w:p w:rsidR="00094BD6" w:rsidRPr="00094BD6" w:rsidRDefault="00094BD6" w:rsidP="004762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94BD6" w:rsidRPr="00094BD6" w:rsidRDefault="00094BD6" w:rsidP="004762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 xml:space="preserve">Coordenar as atividades do Sistema de Controle Interno; </w:t>
      </w: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>Apoiar o Controle Externo;</w:t>
      </w: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 xml:space="preserve">Assessorar a Administração; </w:t>
      </w: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 xml:space="preserve">Comprovar a legalidade e avaliar os resultados quanto à economicidade, eficácia e eficiência, da gestão orçamentária, financeira, operacional e patrimonial das unidades que compõem a estrutura do órgão; </w:t>
      </w: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 xml:space="preserve">Realizar auditorias internas; </w:t>
      </w: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 xml:space="preserve">Avaliar o cumprimento e a execução das metas previstas no Plano Plurianual, na Lei de Diretrizes Orçamentárias e na Lei Orçamentária Anual; </w:t>
      </w: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lastRenderedPageBreak/>
        <w:t>Avaliar as providências adotadas pelo gestor diante de danos causados ao erário, especificando, quando for o caso, as sindicâncias, inquéritos, processos administrativos ou tomados de contas especiais, instaurados no período e os respectivos resultados, indicando números, causas, datas de instauração e de comunicação ao Tribunal de Contas;</w:t>
      </w: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 xml:space="preserve">Acompanhar os limites constitucionais e legais; </w:t>
      </w: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 xml:space="preserve">Avaliar a observância, pelas unidades componentes do Sistema, dos procedimentos, normas e regras estabelecidas pela legislação pertinente; </w:t>
      </w: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>Elaborar parecer conclusivo sobre as contas anuais;</w:t>
      </w: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 xml:space="preserve"> Revisar e emitir parecer acerca de processos de Tomadas de Contas Especiais;</w:t>
      </w:r>
    </w:p>
    <w:p w:rsidR="008A155B" w:rsidRPr="008A155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 xml:space="preserve"> Representar ao Tribunal de Contas sobre irregularidades e ilegalidades;</w:t>
      </w:r>
    </w:p>
    <w:p w:rsidR="008A155B" w:rsidRPr="008752EB" w:rsidRDefault="008A155B" w:rsidP="008A155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t xml:space="preserve"> Zelar pela qualidade e pela independência do Sistema de Controle Interno.</w:t>
      </w:r>
    </w:p>
    <w:p w:rsidR="008752EB" w:rsidRDefault="008752EB" w:rsidP="008752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752EB" w:rsidRDefault="008752EB" w:rsidP="008752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D4A60" w:rsidRDefault="00ED4A60" w:rsidP="008752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752EB" w:rsidRDefault="008752EB" w:rsidP="008752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752EB" w:rsidRPr="008752EB" w:rsidRDefault="008752EB" w:rsidP="008752E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752EB">
        <w:rPr>
          <w:rFonts w:cs="Times New Roman"/>
          <w:b/>
          <w:sz w:val="28"/>
          <w:szCs w:val="28"/>
        </w:rPr>
        <w:t>Planejamento Auditoria</w:t>
      </w:r>
    </w:p>
    <w:p w:rsidR="00094BD6" w:rsidRDefault="00094BD6" w:rsidP="004762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20"/>
        <w:gridCol w:w="30"/>
        <w:gridCol w:w="20"/>
        <w:gridCol w:w="2391"/>
        <w:gridCol w:w="8788"/>
      </w:tblGrid>
      <w:tr w:rsidR="00241789" w:rsidTr="001D461F">
        <w:tc>
          <w:tcPr>
            <w:tcW w:w="1970" w:type="dxa"/>
            <w:gridSpan w:val="3"/>
            <w:shd w:val="clear" w:color="auto" w:fill="E5B8B7" w:themeFill="accent2" w:themeFillTint="66"/>
          </w:tcPr>
          <w:p w:rsidR="00241789" w:rsidRDefault="00241789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SUBSISTEMA</w:t>
            </w:r>
          </w:p>
        </w:tc>
        <w:tc>
          <w:tcPr>
            <w:tcW w:w="2391" w:type="dxa"/>
            <w:shd w:val="clear" w:color="auto" w:fill="E5B8B7" w:themeFill="accent2" w:themeFillTint="66"/>
          </w:tcPr>
          <w:p w:rsidR="00241789" w:rsidRDefault="00E0745E" w:rsidP="0024178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DATA</w:t>
            </w:r>
          </w:p>
        </w:tc>
        <w:tc>
          <w:tcPr>
            <w:tcW w:w="8788" w:type="dxa"/>
            <w:shd w:val="clear" w:color="auto" w:fill="E5B8B7" w:themeFill="accent2" w:themeFillTint="66"/>
          </w:tcPr>
          <w:p w:rsidR="00241789" w:rsidRDefault="00241789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AÇÕES/PONTOS DE CONTROLE</w:t>
            </w:r>
          </w:p>
        </w:tc>
      </w:tr>
      <w:tr w:rsidR="00241789" w:rsidTr="001D461F">
        <w:tc>
          <w:tcPr>
            <w:tcW w:w="1970" w:type="dxa"/>
            <w:gridSpan w:val="3"/>
            <w:shd w:val="clear" w:color="auto" w:fill="D6E3BC" w:themeFill="accent3" w:themeFillTint="66"/>
          </w:tcPr>
          <w:p w:rsidR="00241789" w:rsidRDefault="00241789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241789" w:rsidRDefault="00241789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241789" w:rsidRDefault="00241789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ADMINISTRAÇÃO:</w:t>
            </w:r>
          </w:p>
          <w:p w:rsidR="00241789" w:rsidRDefault="00241789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RH, PATRIMÔNIO, COMPRAS.</w:t>
            </w:r>
          </w:p>
        </w:tc>
        <w:tc>
          <w:tcPr>
            <w:tcW w:w="2391" w:type="dxa"/>
            <w:shd w:val="clear" w:color="auto" w:fill="D6E3BC" w:themeFill="accent3" w:themeFillTint="66"/>
          </w:tcPr>
          <w:p w:rsidR="00241789" w:rsidRDefault="00241789">
            <w:pPr>
              <w:rPr>
                <w:rFonts w:cs="Times New Roman"/>
                <w:sz w:val="24"/>
                <w:szCs w:val="24"/>
              </w:rPr>
            </w:pPr>
          </w:p>
          <w:p w:rsidR="00241789" w:rsidRDefault="00241789">
            <w:pPr>
              <w:rPr>
                <w:rFonts w:cs="Times New Roman"/>
                <w:sz w:val="24"/>
                <w:szCs w:val="24"/>
              </w:rPr>
            </w:pPr>
          </w:p>
          <w:p w:rsidR="00241789" w:rsidRDefault="00241789">
            <w:pPr>
              <w:rPr>
                <w:rFonts w:cs="Times New Roman"/>
                <w:sz w:val="24"/>
                <w:szCs w:val="24"/>
              </w:rPr>
            </w:pPr>
          </w:p>
          <w:p w:rsidR="00241789" w:rsidRDefault="00241789">
            <w:pPr>
              <w:rPr>
                <w:rFonts w:cs="Times New Roman"/>
                <w:sz w:val="24"/>
                <w:szCs w:val="24"/>
              </w:rPr>
            </w:pPr>
          </w:p>
          <w:p w:rsidR="00241789" w:rsidRDefault="003F5D60" w:rsidP="0024178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 a 05/08</w:t>
            </w:r>
            <w:r w:rsidR="00BC06F5">
              <w:rPr>
                <w:rFonts w:cs="Times New Roman"/>
                <w:sz w:val="24"/>
                <w:szCs w:val="24"/>
              </w:rPr>
              <w:t>/16</w:t>
            </w:r>
          </w:p>
        </w:tc>
        <w:tc>
          <w:tcPr>
            <w:tcW w:w="8788" w:type="dxa"/>
            <w:shd w:val="clear" w:color="auto" w:fill="D6E3BC" w:themeFill="accent3" w:themeFillTint="66"/>
          </w:tcPr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>Avaliação da estrutura administrativa e organizacional do órgão / entidade, verificando sua compatibilização com os diplomas legais: CR/88, CE/89 e Lei Orgânica do município;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Manutenção de cadastro atualizado de pessoal - servidores efetivos, à disposição, cedidos, de recrutamento amplo / comissionados, contratados temporariamente; 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>Manutenção de controle sobre concessão de vantagens pessoais, direitos, adicionais à remuneração e promoções;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Elaboração e manutenção do Plano de Cargos e Salários com a realização de eventuais estudos para sua adequação / compatibilização com a legislação vigente; 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Verificação e acompanhamento dos processos de admissão, exoneração e aposentadoria de servidores efetivos e comissionados; 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Geração e encaminhamento dos demonstrativos legais dos atos de pessoal ao Tribunal de Contas, em conformidade com os instrumentos normativos vigentes; 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Manutenção de programas para avaliação de desempenho dos servidores; 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Capacitação e treinamento de servidores conforme a demanda das unidades administrativas; 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Acompanhamento dos procedimentos e adequação de rotinas próprias para realização de concursos públicos, para as correspondentes convocações, para nomeação e posse, bem como o monitoramento de estágio probatório dos admitidos; 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Acompanhamento e controle dos registros que se relacionem com a folha de </w:t>
            </w:r>
            <w:r>
              <w:lastRenderedPageBreak/>
              <w:t>pagamento de pessoal, bem como administrar as retenções legais pertinentes.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>Registro, controle e inventário de bens móveis e imóveis;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 Alienação e cessão de bens; 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Desapropriação de imóveis; 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Definição de normas e regulamentos para os casos de extravio e furto de bens; 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>Criação de regime de almoxarifado, com os controles de entrada e saída de materiais pelo custo médio ponderado;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>Supervisão e acompanhamento na contratação de serviços terceirizados;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 xml:space="preserve"> Gerenciamento da execução dos contratos de prestação de serviços terceirizados (telefonistas, recepcionistas, copa, manutenção, vigilância, segurança patrimonial, motoristas); </w:t>
            </w:r>
          </w:p>
          <w:p w:rsidR="00241789" w:rsidRDefault="00241789" w:rsidP="00D20748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>
              <w:t>Manutenção e atualização permanente de normas e procedimentos para o controle dos gastos com telefonia, energia elétrica, água; Prestação de serviços gerais de apoio às unidades administrativas (mensageiros, correios, entregas de correspondências, etc.);</w:t>
            </w:r>
          </w:p>
          <w:p w:rsidR="00241789" w:rsidRPr="00B210DA" w:rsidRDefault="00241789" w:rsidP="00B44D30">
            <w:pPr>
              <w:pStyle w:val="PargrafodaLista"/>
              <w:numPr>
                <w:ilvl w:val="0"/>
                <w:numId w:val="8"/>
              </w:numPr>
              <w:shd w:val="clear" w:color="auto" w:fill="D6E3BC" w:themeFill="accent3" w:themeFillTint="66"/>
              <w:autoSpaceDE w:val="0"/>
              <w:autoSpaceDN w:val="0"/>
              <w:adjustRightInd w:val="0"/>
              <w:jc w:val="both"/>
            </w:pPr>
            <w:r w:rsidRPr="00B44D30">
              <w:t>Controle de frequência.</w:t>
            </w:r>
          </w:p>
        </w:tc>
      </w:tr>
      <w:tr w:rsidR="000668D4" w:rsidTr="001D461F">
        <w:tc>
          <w:tcPr>
            <w:tcW w:w="1950" w:type="dxa"/>
            <w:gridSpan w:val="2"/>
            <w:shd w:val="clear" w:color="auto" w:fill="B8CCE4" w:themeFill="accent1" w:themeFillTint="66"/>
          </w:tcPr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PLANEJAMENTO</w:t>
            </w: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shd w:val="clear" w:color="auto" w:fill="B8CCE4" w:themeFill="accent1" w:themeFillTint="66"/>
          </w:tcPr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3F5D6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 a 19/08</w:t>
            </w:r>
            <w:r w:rsidR="00BC06F5">
              <w:rPr>
                <w:rFonts w:cs="Times New Roman"/>
                <w:sz w:val="24"/>
                <w:szCs w:val="24"/>
              </w:rPr>
              <w:t>/16</w:t>
            </w:r>
          </w:p>
          <w:p w:rsidR="000668D4" w:rsidRDefault="000668D4" w:rsidP="000668D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B8CCE4" w:themeFill="accent1" w:themeFillTint="66"/>
          </w:tcPr>
          <w:p w:rsidR="000668D4" w:rsidRPr="009653EF" w:rsidRDefault="000668D4" w:rsidP="00B210DA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t xml:space="preserve">Elaboração de projeto básico e planilha de custos; </w:t>
            </w:r>
          </w:p>
          <w:p w:rsidR="000668D4" w:rsidRPr="009653EF" w:rsidRDefault="000668D4" w:rsidP="00B210DA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t xml:space="preserve">Documentos de acompanhamento da execução física das obras, antes de se efetuar a liberação de recursos financeiros; </w:t>
            </w:r>
          </w:p>
          <w:p w:rsidR="000668D4" w:rsidRPr="00D6514A" w:rsidRDefault="000668D4" w:rsidP="00B210DA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t>Controle individualizado por obras devidamente formalizado, conforme as normas estabelecidas pelo Tribunal de Contas;</w:t>
            </w:r>
          </w:p>
          <w:p w:rsidR="000668D4" w:rsidRPr="00B210DA" w:rsidRDefault="000668D4" w:rsidP="00B210DA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t>Controle de frequência.</w:t>
            </w:r>
          </w:p>
        </w:tc>
      </w:tr>
      <w:tr w:rsidR="000668D4" w:rsidTr="001D461F">
        <w:tc>
          <w:tcPr>
            <w:tcW w:w="1950" w:type="dxa"/>
            <w:gridSpan w:val="2"/>
            <w:shd w:val="clear" w:color="auto" w:fill="D6E3BC" w:themeFill="accent3" w:themeFillTint="66"/>
          </w:tcPr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FAZENDA: CONTABILIDADE, TRIBUTOS, TESOURARIA. </w:t>
            </w: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0C50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FAZENDA: CONTABILIDADE, TRIBUTOS, </w:t>
            </w:r>
            <w:proofErr w:type="gramStart"/>
            <w:r>
              <w:rPr>
                <w:rFonts w:cs="Times New Roman"/>
                <w:sz w:val="24"/>
                <w:szCs w:val="24"/>
              </w:rPr>
              <w:t>TESOURARIA</w:t>
            </w:r>
            <w:proofErr w:type="gramEnd"/>
          </w:p>
        </w:tc>
        <w:tc>
          <w:tcPr>
            <w:tcW w:w="2411" w:type="dxa"/>
            <w:gridSpan w:val="2"/>
            <w:shd w:val="clear" w:color="auto" w:fill="D6E3BC" w:themeFill="accent3" w:themeFillTint="66"/>
          </w:tcPr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3F5D60" w:rsidP="003F5D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 a 31</w:t>
            </w:r>
            <w:r w:rsidR="00042A79">
              <w:rPr>
                <w:rFonts w:cs="Times New Roman"/>
                <w:sz w:val="24"/>
                <w:szCs w:val="24"/>
              </w:rPr>
              <w:t>/08</w:t>
            </w:r>
            <w:r w:rsidR="00BC06F5">
              <w:rPr>
                <w:rFonts w:cs="Times New Roman"/>
                <w:sz w:val="24"/>
                <w:szCs w:val="24"/>
              </w:rPr>
              <w:t>/16</w:t>
            </w:r>
          </w:p>
        </w:tc>
        <w:tc>
          <w:tcPr>
            <w:tcW w:w="8788" w:type="dxa"/>
            <w:shd w:val="clear" w:color="auto" w:fill="D6E3BC" w:themeFill="accent3" w:themeFillTint="66"/>
          </w:tcPr>
          <w:p w:rsidR="000668D4" w:rsidRPr="00D6514A" w:rsidRDefault="000668D4" w:rsidP="00D6514A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t>Avaliação do PPA vigente, com proposição, se necessário, de revisões nas diretrizes estabelecidas no plano;</w:t>
            </w:r>
          </w:p>
          <w:p w:rsidR="000668D4" w:rsidRPr="00D6514A" w:rsidRDefault="000668D4" w:rsidP="00D6514A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t>Elaboração da proposta de LDO para o exercício seguinte e controle da execução do orçamento anual corrente, inclusive as modificações realizadas através da abertura de créditos adicionais;</w:t>
            </w:r>
          </w:p>
          <w:p w:rsidR="000668D4" w:rsidRPr="00D6514A" w:rsidRDefault="000668D4" w:rsidP="00D6514A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t xml:space="preserve">Elaboração da proposta da LOA e acompanhamento / controle de sua execução; </w:t>
            </w:r>
          </w:p>
          <w:p w:rsidR="000668D4" w:rsidRPr="00D6514A" w:rsidRDefault="000668D4" w:rsidP="00D6514A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t xml:space="preserve">Elaboração e acompanhamento da programação financeira e do cronograma de execução mensal de desembolsos; </w:t>
            </w:r>
          </w:p>
          <w:p w:rsidR="000668D4" w:rsidRPr="00D6514A" w:rsidRDefault="000668D4" w:rsidP="00D6514A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t xml:space="preserve">Organização e acompanhamento de audiências públicas durante a fase de elaboração / proposição do PPA, LDO e LOA; </w:t>
            </w:r>
          </w:p>
          <w:p w:rsidR="000668D4" w:rsidRPr="00D6514A" w:rsidRDefault="000668D4" w:rsidP="00D6514A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t>Controle na limitação de empenhos e na movimentação financeira, quando necessário, nas situações condicionadas pelas limitações impostas pela LC 101/2000 (LRF);</w:t>
            </w:r>
          </w:p>
          <w:p w:rsidR="000668D4" w:rsidRPr="00D6514A" w:rsidRDefault="000668D4" w:rsidP="00D6514A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lastRenderedPageBreak/>
              <w:t>Realização de estudos para estimativa do impacto orçamentário e financeiro, quando da concessão de renúncia fiscal (art. 14 - LRF), geração de novas despesas (art. 16 - LRF), ou no caso de aumento das despesas de caráter continuado (art. 17 - LRF);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Registro da execução orçamentária e </w:t>
            </w:r>
            <w:proofErr w:type="gramStart"/>
            <w:r>
              <w:t>extra orçamentária</w:t>
            </w:r>
            <w:proofErr w:type="gramEnd"/>
            <w:r>
              <w:t xml:space="preserve">; 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Verificação da existência, atualização e adequação dos registros dos Livros ou Fichas de controle orçamentário, do Diário, do Razão, do Caixa, dos Boletins de Tesouraria e dos livros da Dívida Ativa, em conformidade com as normas legais; 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Verificação sobre a obrigatoriedade da guarda dos livros nos arquivos do órgão e/ou entidade; 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Verificação se os livros informatizados estão devidamente impressos, encadernados e assinados pela autoridade competente; 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Geração e consolidação dos demonstrativos contábeis, bem como a finalização da prestação de contas anual a ser encaminhada ao TCE/SC, observando os prazos estabelecidos;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Geração e consolidação dos demonstrativos exigidos pela LRF - LC n. 101/2000, assim como o controle dos prazos regulamentares estabelecidos para a sua divulgação e remessa ao TCE/SC.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Manutenção de cadastro imobiliário atualizado - urbano e rural; 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Manutenção de cadastro econômico do município atualizado - empresas, profissionais autônomos e sociedades prestadoras de serviços; 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Revisão e atualização do Código Tributário Municipal; 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Definição de normas e regulamentos e acompanhamento das ações de previsão, lançamento, arrecadação e recolhimento de tributos da competência do município (ISS, ITBI, ITR, IPTU, taxas e contribuições); 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Manutenção e aperfeiçoamento da estrutura de fiscalização dos tributos municipais;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Controle da dívida ativa tributária do município, com inscrição tempestiva dos contribuintes devedores e a promoção da cobrança dos créditos inscritos;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Controle e realização de estudos para concessão das renúncias de receitas tributárias; 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Financeiro Estabelecimento da programação financeira em conformidade com a previsão/execução orçamentária;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Controle da receita e das disponibilidades financeiras vinculadas e não vinculadas;</w:t>
            </w:r>
          </w:p>
          <w:p w:rsidR="000668D4" w:rsidRPr="00D20748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Definição de normas e regulamentos e os respectivos controles aplicáveis à concessão de adiantamentos, como também aos pagamentos de diárias; </w:t>
            </w:r>
          </w:p>
          <w:p w:rsidR="000668D4" w:rsidRPr="009653EF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Contratação e controle de operações de crédito, avais e garantias;</w:t>
            </w:r>
          </w:p>
          <w:p w:rsidR="000668D4" w:rsidRPr="009653EF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lastRenderedPageBreak/>
              <w:t xml:space="preserve">Estabelecimento de normas e procedimentos para a celebração, controle e prestação de contas de convênios e termos congêneres concedidos; </w:t>
            </w:r>
          </w:p>
          <w:p w:rsidR="000668D4" w:rsidRPr="009653EF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Estabelecimento de normas e procedimentos para a celebração, controle e prestação de contas de convênios e termos congêneres recebidos; </w:t>
            </w:r>
          </w:p>
          <w:p w:rsidR="000668D4" w:rsidRPr="00D6514A" w:rsidRDefault="000668D4" w:rsidP="00D20748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Manutenção de procedimentos e normas vinculadas ao controle e acompanhamento dos atos e transações que envolvam a participação em consórcios;</w:t>
            </w:r>
          </w:p>
          <w:p w:rsidR="000668D4" w:rsidRPr="00D20748" w:rsidRDefault="000668D4" w:rsidP="00D6514A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t>Controle de frequência.</w:t>
            </w:r>
          </w:p>
        </w:tc>
      </w:tr>
      <w:tr w:rsidR="000668D4" w:rsidTr="00FF06E8">
        <w:tc>
          <w:tcPr>
            <w:tcW w:w="1920" w:type="dxa"/>
            <w:shd w:val="clear" w:color="auto" w:fill="B8CCE4" w:themeFill="accent1" w:themeFillTint="66"/>
          </w:tcPr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EDUCAÇÃO</w:t>
            </w:r>
          </w:p>
        </w:tc>
        <w:tc>
          <w:tcPr>
            <w:tcW w:w="2441" w:type="dxa"/>
            <w:gridSpan w:val="3"/>
            <w:shd w:val="clear" w:color="auto" w:fill="B8CCE4" w:themeFill="accent1" w:themeFillTint="66"/>
          </w:tcPr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3F5D60" w:rsidP="003F5D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 a 16/09</w:t>
            </w:r>
            <w:r w:rsidR="00BC06F5">
              <w:rPr>
                <w:rFonts w:cs="Times New Roman"/>
                <w:sz w:val="24"/>
                <w:szCs w:val="24"/>
              </w:rPr>
              <w:t>/16</w:t>
            </w:r>
          </w:p>
        </w:tc>
        <w:tc>
          <w:tcPr>
            <w:tcW w:w="8788" w:type="dxa"/>
            <w:shd w:val="clear" w:color="auto" w:fill="B8CCE4" w:themeFill="accent1" w:themeFillTint="66"/>
          </w:tcPr>
          <w:p w:rsidR="000668D4" w:rsidRPr="00217056" w:rsidRDefault="000668D4" w:rsidP="0021705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Planejamento e gerenciamento do ensino infantil e fundamental no município mediante formulação de </w:t>
            </w:r>
            <w:proofErr w:type="gramStart"/>
            <w:r>
              <w:t>planos e diretrizes</w:t>
            </w:r>
            <w:proofErr w:type="gramEnd"/>
            <w:r>
              <w:t xml:space="preserve">; </w:t>
            </w:r>
          </w:p>
          <w:p w:rsidR="000668D4" w:rsidRPr="00217056" w:rsidRDefault="000668D4" w:rsidP="0021705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Gerenciamento e acompanhamento das ações voltadas para oferecimento de merenda escolar; </w:t>
            </w:r>
          </w:p>
          <w:p w:rsidR="000668D4" w:rsidRPr="00217056" w:rsidRDefault="000668D4" w:rsidP="0021705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Gerenciamento e acompanhamento das ações voltadas para oferecimento de transporte escolar; </w:t>
            </w:r>
          </w:p>
          <w:p w:rsidR="000668D4" w:rsidRPr="00217056" w:rsidRDefault="000668D4" w:rsidP="0021705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Monitoramento e controle dos gastos com ensino infantil e fundamental para garantia da aplicação de 25% da receita de impostos e transferências, bem como da aplicação de 60% dos recursos do FUNDEB na remuneração dos profissionais do magistério;</w:t>
            </w:r>
          </w:p>
          <w:p w:rsidR="000668D4" w:rsidRPr="00217056" w:rsidRDefault="000668D4" w:rsidP="0021705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Gerenciamento e controle do uso da frota de veículos e de equipamentos; </w:t>
            </w:r>
          </w:p>
          <w:p w:rsidR="000668D4" w:rsidRPr="00217056" w:rsidRDefault="000668D4" w:rsidP="0021705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Verificação e acompanhamento da necessidade e realização de manutenções preventivas e corretivas; </w:t>
            </w:r>
          </w:p>
          <w:p w:rsidR="000668D4" w:rsidRPr="00217056" w:rsidRDefault="000668D4" w:rsidP="0021705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Manutenção e adequação de controles para peças, pneus e combustíveis empregados;</w:t>
            </w:r>
          </w:p>
          <w:p w:rsidR="000668D4" w:rsidRPr="00217056" w:rsidRDefault="000668D4" w:rsidP="0021705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Verificação e acompanhamento da quilometragem percorrida e do consumo efetivo de combustível; </w:t>
            </w:r>
          </w:p>
          <w:p w:rsidR="000668D4" w:rsidRPr="00217056" w:rsidRDefault="000668D4" w:rsidP="0021705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Manutenção de cadastro dos veículos e equipamentos contendo informações sobre características dos mesmos, além do acompanhamento dos requisitos legais para o tráfego (licenciamento, seguro, registros no </w:t>
            </w:r>
            <w:proofErr w:type="gramStart"/>
            <w:r>
              <w:t>Detran</w:t>
            </w:r>
            <w:proofErr w:type="gramEnd"/>
            <w:r>
              <w:t xml:space="preserve">); </w:t>
            </w:r>
          </w:p>
          <w:p w:rsidR="000668D4" w:rsidRPr="000C509F" w:rsidRDefault="000668D4" w:rsidP="0021705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Manutenção de controles específicos, caso sejam empregados veículos </w:t>
            </w:r>
            <w:proofErr w:type="gramStart"/>
            <w:r>
              <w:t>sob contrato</w:t>
            </w:r>
            <w:proofErr w:type="gramEnd"/>
            <w:r>
              <w:t xml:space="preserve"> de locação;</w:t>
            </w:r>
          </w:p>
          <w:p w:rsidR="000668D4" w:rsidRPr="00D6514A" w:rsidRDefault="000668D4" w:rsidP="00217056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Controle Social;</w:t>
            </w:r>
          </w:p>
          <w:p w:rsidR="000668D4" w:rsidRPr="00217056" w:rsidRDefault="000668D4" w:rsidP="00D6514A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t>Controle de frequência.</w:t>
            </w:r>
          </w:p>
        </w:tc>
      </w:tr>
      <w:tr w:rsidR="000668D4" w:rsidTr="00FF06E8">
        <w:tc>
          <w:tcPr>
            <w:tcW w:w="1950" w:type="dxa"/>
            <w:gridSpan w:val="2"/>
            <w:shd w:val="clear" w:color="auto" w:fill="FBD4B4" w:themeFill="accent6" w:themeFillTint="66"/>
          </w:tcPr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SAÚDE</w:t>
            </w:r>
          </w:p>
        </w:tc>
        <w:tc>
          <w:tcPr>
            <w:tcW w:w="2411" w:type="dxa"/>
            <w:gridSpan w:val="2"/>
            <w:shd w:val="clear" w:color="auto" w:fill="FBD4B4" w:themeFill="accent6" w:themeFillTint="66"/>
          </w:tcPr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CD2935" w:rsidP="000668D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 a 30</w:t>
            </w:r>
            <w:r w:rsidR="00042A79">
              <w:rPr>
                <w:rFonts w:cs="Times New Roman"/>
                <w:sz w:val="24"/>
                <w:szCs w:val="24"/>
              </w:rPr>
              <w:t>/09</w:t>
            </w:r>
            <w:r w:rsidR="00BC06F5">
              <w:rPr>
                <w:rFonts w:cs="Times New Roman"/>
                <w:sz w:val="24"/>
                <w:szCs w:val="24"/>
              </w:rPr>
              <w:t>/16</w:t>
            </w:r>
          </w:p>
          <w:p w:rsidR="00CD2935" w:rsidRDefault="00CD2935" w:rsidP="000668D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FBD4B4" w:themeFill="accent6" w:themeFillTint="66"/>
          </w:tcPr>
          <w:p w:rsidR="000668D4" w:rsidRPr="00FC4287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lastRenderedPageBreak/>
              <w:t>Planejamento e gerenciamento das ações públicas de saúde na esfera do município;</w:t>
            </w:r>
          </w:p>
          <w:p w:rsidR="000668D4" w:rsidRPr="00FC4287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Definição e regulamentação de normas e procedimentos voltados para a execução das ações públicas de saúde para as unidades de atendimento municipais; </w:t>
            </w:r>
          </w:p>
          <w:p w:rsidR="000668D4" w:rsidRPr="00FC4287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Monitoramento e controle dos gastos com ações públicas de saúde, com vistas a garantir aplicação mínima de 15% do montante dos recursos oriundos de impostos e transferências;</w:t>
            </w:r>
          </w:p>
          <w:p w:rsidR="000668D4" w:rsidRPr="00FC4287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Distribuição e controle de medicamentos e de material médico - clínico;</w:t>
            </w:r>
          </w:p>
          <w:p w:rsidR="000668D4" w:rsidRPr="00FC4287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lastRenderedPageBreak/>
              <w:t>Estabelecimento de normas aplicáveis à destinação de resíduos (lixo hospitalar);</w:t>
            </w:r>
          </w:p>
          <w:p w:rsidR="000668D4" w:rsidRPr="00FC4287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Gerenciamento e controle do uso da frota de veículos e de equipamentos;</w:t>
            </w:r>
          </w:p>
          <w:p w:rsidR="000668D4" w:rsidRPr="00FC4287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Verificação e acompanhamento da necessidade e realização de manutenções preventivas e corretivas; </w:t>
            </w:r>
          </w:p>
          <w:p w:rsidR="000668D4" w:rsidRPr="00FC4287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Manutenção e adequação de controles para peças, pneus e combustíveis empregados;</w:t>
            </w:r>
          </w:p>
          <w:p w:rsidR="000668D4" w:rsidRPr="00FC4287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Verificação e acompanhamento da quilometragem percorrida e do consumo efetivo de combustível; </w:t>
            </w:r>
          </w:p>
          <w:p w:rsidR="000668D4" w:rsidRPr="00FC4287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Manutenção de cadastro dos veículos e equipamentos contendo informações sobre características dos mesmos, além do acompanhamento dos requisitos legais para o tráfego (licenciamento, seguro, registros no </w:t>
            </w:r>
            <w:proofErr w:type="gramStart"/>
            <w:r>
              <w:t>Detran</w:t>
            </w:r>
            <w:proofErr w:type="gramEnd"/>
            <w:r>
              <w:t>);</w:t>
            </w:r>
          </w:p>
          <w:p w:rsidR="000668D4" w:rsidRPr="000C509F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Manutenção de controles específicos, caso sejam empregados veículos </w:t>
            </w:r>
            <w:proofErr w:type="gramStart"/>
            <w:r>
              <w:t>sob contrato</w:t>
            </w:r>
            <w:proofErr w:type="gramEnd"/>
            <w:r>
              <w:t xml:space="preserve"> de locação;</w:t>
            </w:r>
          </w:p>
          <w:p w:rsidR="000668D4" w:rsidRPr="00D6514A" w:rsidRDefault="000668D4" w:rsidP="00FC4287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Controle Social;</w:t>
            </w:r>
          </w:p>
          <w:p w:rsidR="000668D4" w:rsidRPr="00FC4287" w:rsidRDefault="000668D4" w:rsidP="00D6514A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t>Controle de frequência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0668D4" w:rsidTr="00FF06E8">
        <w:tc>
          <w:tcPr>
            <w:tcW w:w="1950" w:type="dxa"/>
            <w:gridSpan w:val="2"/>
            <w:shd w:val="clear" w:color="auto" w:fill="B8CCE4" w:themeFill="accent1" w:themeFillTint="66"/>
          </w:tcPr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ASSISTÊNCIA SOCIAL</w:t>
            </w:r>
          </w:p>
        </w:tc>
        <w:tc>
          <w:tcPr>
            <w:tcW w:w="2411" w:type="dxa"/>
            <w:gridSpan w:val="2"/>
            <w:shd w:val="clear" w:color="auto" w:fill="B8CCE4" w:themeFill="accent1" w:themeFillTint="66"/>
          </w:tcPr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CD2935" w:rsidP="00CD29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 a 14/10</w:t>
            </w:r>
            <w:r w:rsidR="00BC06F5">
              <w:rPr>
                <w:rFonts w:cs="Times New Roman"/>
                <w:sz w:val="24"/>
                <w:szCs w:val="24"/>
              </w:rPr>
              <w:t>/16</w:t>
            </w:r>
          </w:p>
        </w:tc>
        <w:tc>
          <w:tcPr>
            <w:tcW w:w="8788" w:type="dxa"/>
            <w:shd w:val="clear" w:color="auto" w:fill="B8CCE4" w:themeFill="accent1" w:themeFillTint="66"/>
          </w:tcPr>
          <w:p w:rsidR="000668D4" w:rsidRPr="000B48E9" w:rsidRDefault="000668D4" w:rsidP="000B48E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Planejamento e gerenciamento das ações voltadas para a execução de políticas públicas na área do bem-estar social; </w:t>
            </w:r>
          </w:p>
          <w:p w:rsidR="000668D4" w:rsidRPr="000B48E9" w:rsidRDefault="000668D4" w:rsidP="000B48E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Definição e regulamentação de normas e procedimentos voltados para a execução das ações de bem-estar social e prestação de atendimento na esfera da assistência social;</w:t>
            </w:r>
          </w:p>
          <w:p w:rsidR="000668D4" w:rsidRPr="000B48E9" w:rsidRDefault="000668D4" w:rsidP="000B48E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Monitoramento e controle dos gastos com assistência social, bem como administração dos recursos vinculados recebidos pelo município; </w:t>
            </w:r>
          </w:p>
          <w:p w:rsidR="000668D4" w:rsidRPr="000B48E9" w:rsidRDefault="000668D4" w:rsidP="000B48E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Criação de cadastro e manutenção atualizada do mesmo para controle no atendimento a beneficiários das ações de assistência social;</w:t>
            </w:r>
          </w:p>
          <w:p w:rsidR="000668D4" w:rsidRPr="000B48E9" w:rsidRDefault="000668D4" w:rsidP="000B48E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Gerenciamento e controle do uso da frota de veículos e de equipamentos; </w:t>
            </w:r>
          </w:p>
          <w:p w:rsidR="000668D4" w:rsidRPr="000B48E9" w:rsidRDefault="000668D4" w:rsidP="000B48E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Verificação e acompanhamento da necessidade e realização de manutenções preventivas e corretivas; </w:t>
            </w:r>
          </w:p>
          <w:p w:rsidR="000668D4" w:rsidRPr="000B48E9" w:rsidRDefault="000668D4" w:rsidP="000B48E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Manutenção e adequação de controles para peças, pneus e combustíveis empregados;</w:t>
            </w:r>
          </w:p>
          <w:p w:rsidR="000668D4" w:rsidRPr="000B48E9" w:rsidRDefault="000668D4" w:rsidP="000B48E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Verificação e acompanhamento da quilometragem percorrida e do consumo efetivo de combustível;</w:t>
            </w:r>
          </w:p>
          <w:p w:rsidR="000668D4" w:rsidRPr="000B48E9" w:rsidRDefault="000668D4" w:rsidP="000B48E9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Manutenção de cadastro dos veículos e equipamentos contendo informações sobre características dos mesmos, além do acompanhamento dos requisitos legais para o tráfego (licenciamento, seguro, registros no </w:t>
            </w:r>
            <w:proofErr w:type="gramStart"/>
            <w:r>
              <w:t>Detran</w:t>
            </w:r>
            <w:proofErr w:type="gramEnd"/>
            <w:r>
              <w:t xml:space="preserve">); </w:t>
            </w:r>
          </w:p>
          <w:p w:rsidR="000668D4" w:rsidRPr="000C509F" w:rsidRDefault="000668D4" w:rsidP="000C509F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Manutenção de controles específicos, caso sejam empregados veículos </w:t>
            </w:r>
            <w:proofErr w:type="gramStart"/>
            <w:r>
              <w:t>sob contrato</w:t>
            </w:r>
            <w:proofErr w:type="gramEnd"/>
            <w:r>
              <w:t xml:space="preserve"> de locação;</w:t>
            </w:r>
          </w:p>
          <w:p w:rsidR="000668D4" w:rsidRPr="00D6514A" w:rsidRDefault="000668D4" w:rsidP="000C509F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Controle Social;</w:t>
            </w:r>
          </w:p>
          <w:p w:rsidR="000668D4" w:rsidRPr="000B48E9" w:rsidRDefault="000668D4" w:rsidP="00D6514A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t>Controle de frequência.</w:t>
            </w:r>
          </w:p>
        </w:tc>
      </w:tr>
      <w:tr w:rsidR="000668D4" w:rsidTr="00FF06E8">
        <w:tc>
          <w:tcPr>
            <w:tcW w:w="1950" w:type="dxa"/>
            <w:gridSpan w:val="2"/>
            <w:shd w:val="clear" w:color="auto" w:fill="C2D69B" w:themeFill="accent3" w:themeFillTint="99"/>
          </w:tcPr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OBRAS E INFAESTRUTURA</w:t>
            </w:r>
          </w:p>
        </w:tc>
        <w:tc>
          <w:tcPr>
            <w:tcW w:w="2411" w:type="dxa"/>
            <w:gridSpan w:val="2"/>
            <w:shd w:val="clear" w:color="auto" w:fill="C2D69B" w:themeFill="accent3" w:themeFillTint="99"/>
          </w:tcPr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CD2935" w:rsidP="007E2D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 a 28/10</w:t>
            </w:r>
            <w:r w:rsidR="00BC06F5">
              <w:rPr>
                <w:rFonts w:cs="Times New Roman"/>
                <w:sz w:val="24"/>
                <w:szCs w:val="24"/>
              </w:rPr>
              <w:t>/16</w:t>
            </w:r>
          </w:p>
        </w:tc>
        <w:tc>
          <w:tcPr>
            <w:tcW w:w="8788" w:type="dxa"/>
            <w:shd w:val="clear" w:color="auto" w:fill="C2D69B" w:themeFill="accent3" w:themeFillTint="99"/>
          </w:tcPr>
          <w:p w:rsidR="000668D4" w:rsidRPr="000C509F" w:rsidRDefault="000668D4" w:rsidP="000C509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Gerenciamento e controle do uso da frota de veículos e de equipamentos;</w:t>
            </w:r>
          </w:p>
          <w:p w:rsidR="000668D4" w:rsidRPr="000C509F" w:rsidRDefault="000668D4" w:rsidP="000C509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Verificação e acompanhamento da necessidade e realização de manutenções preventivas e corretivas; </w:t>
            </w:r>
          </w:p>
          <w:p w:rsidR="000668D4" w:rsidRPr="000C509F" w:rsidRDefault="000668D4" w:rsidP="000C509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Manutenção e adequação de controles para peças, pneus e combustíveis empregados;</w:t>
            </w:r>
          </w:p>
          <w:p w:rsidR="000668D4" w:rsidRPr="000C509F" w:rsidRDefault="000668D4" w:rsidP="000C509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Verificação e acompanhamento da quilometragem percorrida e do consumo efetivo de combustível; </w:t>
            </w:r>
          </w:p>
          <w:p w:rsidR="000668D4" w:rsidRPr="000C509F" w:rsidRDefault="000668D4" w:rsidP="000C509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Manutenção de cadastro dos veículos e equipamentos contendo informações sobre características dos mesmos, além do acompanhamento dos requisitos legais para o tráfego (licenciamento, seguro, registros no </w:t>
            </w:r>
            <w:proofErr w:type="gramStart"/>
            <w:r>
              <w:t>Detran</w:t>
            </w:r>
            <w:proofErr w:type="gramEnd"/>
            <w:r>
              <w:t xml:space="preserve">); </w:t>
            </w:r>
          </w:p>
          <w:p w:rsidR="000668D4" w:rsidRPr="00D6514A" w:rsidRDefault="000668D4" w:rsidP="000C509F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Manutenção de controles específicos, caso sejam empregados veículos </w:t>
            </w:r>
            <w:proofErr w:type="gramStart"/>
            <w:r>
              <w:t>sob contrato</w:t>
            </w:r>
            <w:proofErr w:type="gramEnd"/>
            <w:r>
              <w:t xml:space="preserve"> de locação;</w:t>
            </w:r>
          </w:p>
          <w:p w:rsidR="000668D4" w:rsidRPr="000C509F" w:rsidRDefault="000668D4" w:rsidP="00D6514A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D6514A">
              <w:rPr>
                <w:rFonts w:cs="Times New Roman"/>
                <w:sz w:val="24"/>
                <w:szCs w:val="24"/>
              </w:rPr>
              <w:t>Controle de frequência.</w:t>
            </w:r>
          </w:p>
        </w:tc>
      </w:tr>
      <w:tr w:rsidR="000668D4" w:rsidTr="00FF06E8">
        <w:tc>
          <w:tcPr>
            <w:tcW w:w="1950" w:type="dxa"/>
            <w:gridSpan w:val="2"/>
            <w:shd w:val="clear" w:color="auto" w:fill="B8CCE4" w:themeFill="accent1" w:themeFillTint="66"/>
          </w:tcPr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AGRICULTURA</w:t>
            </w:r>
          </w:p>
        </w:tc>
        <w:tc>
          <w:tcPr>
            <w:tcW w:w="2411" w:type="dxa"/>
            <w:gridSpan w:val="2"/>
            <w:shd w:val="clear" w:color="auto" w:fill="B8CCE4" w:themeFill="accent1" w:themeFillTint="66"/>
          </w:tcPr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206351" w:rsidP="002063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 a 11/11</w:t>
            </w:r>
            <w:r w:rsidR="00BC06F5">
              <w:rPr>
                <w:rFonts w:cs="Times New Roman"/>
                <w:sz w:val="24"/>
                <w:szCs w:val="24"/>
              </w:rPr>
              <w:t>/16</w:t>
            </w:r>
          </w:p>
        </w:tc>
        <w:tc>
          <w:tcPr>
            <w:tcW w:w="8788" w:type="dxa"/>
            <w:shd w:val="clear" w:color="auto" w:fill="B8CCE4" w:themeFill="accent1" w:themeFillTint="66"/>
          </w:tcPr>
          <w:p w:rsidR="000668D4" w:rsidRDefault="000668D4" w:rsidP="00E11E40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>
              <w:t>Política municipal de meio ambiente;</w:t>
            </w:r>
          </w:p>
          <w:p w:rsidR="000668D4" w:rsidRDefault="000668D4" w:rsidP="000C509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>
              <w:t xml:space="preserve">Gerenciamento e controle do uso da frota de veículos e de equipamentos; </w:t>
            </w:r>
          </w:p>
          <w:p w:rsidR="000668D4" w:rsidRDefault="000668D4" w:rsidP="000C509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>
              <w:t xml:space="preserve">Verificação e acompanhamento da necessidade e realização de manutenções preventivas e corretivas; </w:t>
            </w:r>
          </w:p>
          <w:p w:rsidR="000668D4" w:rsidRDefault="000668D4" w:rsidP="000C509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>
              <w:t>Manutenção e adequação de controles para peças, pneus e combustíveis empregados;</w:t>
            </w:r>
          </w:p>
          <w:p w:rsidR="000668D4" w:rsidRDefault="000668D4" w:rsidP="000C509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>
              <w:t xml:space="preserve"> Verificação e acompanhamento da quilometragem percorrida e do consumo efetivo de combustível; </w:t>
            </w:r>
          </w:p>
          <w:p w:rsidR="000668D4" w:rsidRDefault="000668D4" w:rsidP="000C509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>
              <w:t xml:space="preserve">Manutenção de cadastro dos veículos e equipamentos contendo informações sobre características dos mesmos, além do acompanhamento dos requisitos legais para o tráfego (licenciamento, seguro, registros no </w:t>
            </w:r>
            <w:proofErr w:type="gramStart"/>
            <w:r>
              <w:t>Detran</w:t>
            </w:r>
            <w:proofErr w:type="gramEnd"/>
            <w:r>
              <w:t>);</w:t>
            </w:r>
          </w:p>
          <w:p w:rsidR="000668D4" w:rsidRDefault="000668D4" w:rsidP="000C509F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>
              <w:t>Manutenção de controles específicos, caso sejam empregados veículos sob</w:t>
            </w:r>
            <w:proofErr w:type="gramStart"/>
            <w:r>
              <w:t xml:space="preserve">  </w:t>
            </w:r>
            <w:proofErr w:type="gramEnd"/>
            <w:r>
              <w:t>contrato de locação;</w:t>
            </w:r>
          </w:p>
          <w:p w:rsidR="000668D4" w:rsidRDefault="000668D4" w:rsidP="00D6514A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>
              <w:t>Controle de frequência;</w:t>
            </w:r>
          </w:p>
          <w:p w:rsidR="000668D4" w:rsidRDefault="000668D4" w:rsidP="00410436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Controle Social.</w:t>
            </w:r>
          </w:p>
        </w:tc>
      </w:tr>
      <w:tr w:rsidR="000668D4" w:rsidTr="00FF06E8">
        <w:tc>
          <w:tcPr>
            <w:tcW w:w="1950" w:type="dxa"/>
            <w:gridSpan w:val="2"/>
            <w:shd w:val="clear" w:color="auto" w:fill="C2D69B" w:themeFill="accent3" w:themeFillTint="99"/>
          </w:tcPr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668D4" w:rsidRDefault="000668D4" w:rsidP="004762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TURISMO</w:t>
            </w:r>
          </w:p>
        </w:tc>
        <w:tc>
          <w:tcPr>
            <w:tcW w:w="2411" w:type="dxa"/>
            <w:gridSpan w:val="2"/>
            <w:shd w:val="clear" w:color="auto" w:fill="C2D69B" w:themeFill="accent3" w:themeFillTint="99"/>
          </w:tcPr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0668D4">
            <w:pPr>
              <w:rPr>
                <w:rFonts w:cs="Times New Roman"/>
                <w:sz w:val="24"/>
                <w:szCs w:val="24"/>
              </w:rPr>
            </w:pPr>
          </w:p>
          <w:p w:rsidR="000668D4" w:rsidRDefault="00206351" w:rsidP="000668D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 a 25/11</w:t>
            </w:r>
            <w:r w:rsidR="00BC06F5">
              <w:rPr>
                <w:rFonts w:cs="Times New Roman"/>
                <w:sz w:val="24"/>
                <w:szCs w:val="24"/>
              </w:rPr>
              <w:t>/16</w:t>
            </w:r>
          </w:p>
        </w:tc>
        <w:tc>
          <w:tcPr>
            <w:tcW w:w="8788" w:type="dxa"/>
            <w:shd w:val="clear" w:color="auto" w:fill="C2D69B" w:themeFill="accent3" w:themeFillTint="99"/>
          </w:tcPr>
          <w:p w:rsidR="000668D4" w:rsidRPr="00110F34" w:rsidRDefault="000668D4" w:rsidP="00E11E40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 de Turismo;</w:t>
            </w:r>
          </w:p>
          <w:p w:rsidR="000668D4" w:rsidRPr="00110F34" w:rsidRDefault="000668D4" w:rsidP="00E11E40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t>Controle de frequência;</w:t>
            </w:r>
          </w:p>
          <w:p w:rsidR="000668D4" w:rsidRDefault="000668D4" w:rsidP="00E11E40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110F34">
              <w:rPr>
                <w:rFonts w:cs="Times New Roman"/>
                <w:sz w:val="24"/>
                <w:szCs w:val="24"/>
              </w:rPr>
              <w:t>Regulamentação e fiscalização das atividades e empreendimentos turísticos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0668D4" w:rsidRDefault="000668D4" w:rsidP="00E11E40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E11E40">
              <w:rPr>
                <w:rFonts w:cs="Times New Roman"/>
                <w:sz w:val="24"/>
                <w:szCs w:val="24"/>
              </w:rPr>
              <w:t>Projeto de sinalização turística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0668D4" w:rsidRPr="00E11E40" w:rsidRDefault="000668D4" w:rsidP="00E11E40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E11E40">
              <w:rPr>
                <w:rFonts w:cs="Times New Roman"/>
                <w:sz w:val="24"/>
                <w:szCs w:val="24"/>
              </w:rPr>
              <w:t>Banco de dados informatizado, que ajude na coleta e interpretação das informações de interesse turístico, principalmente as informações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11E40">
              <w:rPr>
                <w:rFonts w:cs="Times New Roman"/>
                <w:sz w:val="24"/>
                <w:szCs w:val="24"/>
              </w:rPr>
              <w:t>referentes à demanda e oferta turística;</w:t>
            </w:r>
          </w:p>
          <w:p w:rsidR="000668D4" w:rsidRDefault="000668D4" w:rsidP="00E11E40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E11E40">
              <w:rPr>
                <w:rFonts w:cs="Times New Roman"/>
                <w:sz w:val="24"/>
                <w:szCs w:val="24"/>
              </w:rPr>
              <w:t>Ma</w:t>
            </w:r>
            <w:r>
              <w:rPr>
                <w:rFonts w:cs="Times New Roman"/>
                <w:sz w:val="24"/>
                <w:szCs w:val="24"/>
              </w:rPr>
              <w:t>pa de eventos e calendá</w:t>
            </w:r>
            <w:r w:rsidRPr="00E11E40">
              <w:rPr>
                <w:rFonts w:cs="Times New Roman"/>
                <w:sz w:val="24"/>
                <w:szCs w:val="24"/>
              </w:rPr>
              <w:t>rio oficial do município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0668D4" w:rsidRDefault="000668D4" w:rsidP="00E11E40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E11E40">
              <w:rPr>
                <w:rFonts w:cs="Times New Roman"/>
                <w:sz w:val="24"/>
                <w:szCs w:val="24"/>
              </w:rPr>
              <w:t>Capacitação para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11E40">
              <w:rPr>
                <w:rFonts w:cs="Times New Roman"/>
                <w:sz w:val="24"/>
                <w:szCs w:val="24"/>
              </w:rPr>
              <w:t>os profissionais ligados ao turismo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0668D4" w:rsidRPr="00241789" w:rsidRDefault="000668D4" w:rsidP="00241789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41789">
              <w:rPr>
                <w:rFonts w:cs="Times New Roman"/>
                <w:sz w:val="24"/>
                <w:szCs w:val="24"/>
              </w:rPr>
              <w:lastRenderedPageBreak/>
              <w:t xml:space="preserve">Verificação e acompanhamento da quilometragem percorrida e do consumo efetivo de combustível; </w:t>
            </w:r>
          </w:p>
          <w:p w:rsidR="000668D4" w:rsidRPr="00241789" w:rsidRDefault="000668D4" w:rsidP="00241789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241789">
              <w:rPr>
                <w:rFonts w:cs="Times New Roman"/>
                <w:sz w:val="24"/>
                <w:szCs w:val="24"/>
              </w:rPr>
              <w:t>Manutenção de cadastro dos veículos e equipamentos contendo informações sobre características dos mesmos, além do acompanhamento dos requisitos legais para o tráfego (licenciament</w:t>
            </w:r>
            <w:r>
              <w:rPr>
                <w:rFonts w:cs="Times New Roman"/>
                <w:sz w:val="24"/>
                <w:szCs w:val="24"/>
              </w:rPr>
              <w:t xml:space="preserve">o, seguro, registros no </w:t>
            </w:r>
            <w:proofErr w:type="gramStart"/>
            <w:r>
              <w:rPr>
                <w:rFonts w:cs="Times New Roman"/>
                <w:sz w:val="24"/>
                <w:szCs w:val="24"/>
              </w:rPr>
              <w:t>Detran</w:t>
            </w:r>
            <w:proofErr w:type="gramEnd"/>
            <w:r>
              <w:rPr>
                <w:rFonts w:cs="Times New Roman"/>
                <w:sz w:val="24"/>
                <w:szCs w:val="24"/>
              </w:rPr>
              <w:t>).</w:t>
            </w:r>
          </w:p>
          <w:p w:rsidR="000668D4" w:rsidRPr="00D6514A" w:rsidRDefault="000668D4" w:rsidP="00241789">
            <w:pPr>
              <w:pStyle w:val="PargrafodaLista"/>
              <w:autoSpaceDE w:val="0"/>
              <w:autoSpaceDN w:val="0"/>
              <w:adjustRightInd w:val="0"/>
              <w:ind w:left="765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094BD6" w:rsidRDefault="00094BD6" w:rsidP="004762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94BD6" w:rsidRDefault="00094BD6" w:rsidP="004762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94BD6" w:rsidRDefault="00094BD6" w:rsidP="004762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094BD6" w:rsidRDefault="00094BD6" w:rsidP="004762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Style w:val="Tabelacomgrade1"/>
        <w:tblpPr w:leftFromText="141" w:rightFromText="141" w:vertAnchor="page" w:horzAnchor="margin" w:tblpX="-885" w:tblpY="1540"/>
        <w:tblW w:w="14709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6520"/>
        <w:gridCol w:w="2552"/>
      </w:tblGrid>
      <w:tr w:rsidR="000668D4" w:rsidRPr="000668D4" w:rsidTr="001D461F">
        <w:tc>
          <w:tcPr>
            <w:tcW w:w="2943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jc w:val="center"/>
              <w:rPr>
                <w:rFonts w:cs="Calibri"/>
                <w:b/>
              </w:rPr>
            </w:pPr>
            <w:r w:rsidRPr="000668D4">
              <w:rPr>
                <w:rFonts w:cs="Calibri"/>
                <w:b/>
              </w:rPr>
              <w:lastRenderedPageBreak/>
              <w:t>Atividade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jc w:val="center"/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  <w:b/>
              </w:rPr>
              <w:t>Objetivo</w:t>
            </w:r>
          </w:p>
        </w:tc>
        <w:tc>
          <w:tcPr>
            <w:tcW w:w="6520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jc w:val="center"/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  <w:b/>
              </w:rPr>
              <w:t>Procedimento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0668D4" w:rsidRPr="000668D4" w:rsidRDefault="000668D4" w:rsidP="00BE3495">
            <w:pPr>
              <w:tabs>
                <w:tab w:val="left" w:pos="2651"/>
              </w:tabs>
              <w:jc w:val="center"/>
              <w:rPr>
                <w:rFonts w:cs="Calibri"/>
                <w:b/>
              </w:rPr>
            </w:pPr>
            <w:r w:rsidRPr="000668D4">
              <w:rPr>
                <w:rFonts w:cs="Calibri"/>
                <w:b/>
              </w:rPr>
              <w:t>Período</w:t>
            </w:r>
          </w:p>
        </w:tc>
      </w:tr>
      <w:tr w:rsidR="000668D4" w:rsidRPr="00BE3495" w:rsidTr="001D461F">
        <w:tc>
          <w:tcPr>
            <w:tcW w:w="2943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>1. Capacitação dos Controladores Internos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>Melhorar os controles em cada setor</w:t>
            </w:r>
          </w:p>
        </w:tc>
        <w:tc>
          <w:tcPr>
            <w:tcW w:w="6520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jc w:val="center"/>
              <w:rPr>
                <w:rFonts w:cs="Calibri"/>
                <w:b/>
              </w:rPr>
            </w:pPr>
            <w:r w:rsidRPr="000668D4">
              <w:rPr>
                <w:rFonts w:cs="Calibri,Bold"/>
                <w:bCs/>
              </w:rPr>
              <w:t>Reunião de um dia para estabelecer normas de procedimentos de controles, rotinas e funções.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0668D4" w:rsidRPr="00BE3495" w:rsidRDefault="00BE3495" w:rsidP="00BE3495">
            <w:pPr>
              <w:tabs>
                <w:tab w:val="left" w:pos="2651"/>
              </w:tabs>
              <w:jc w:val="center"/>
              <w:rPr>
                <w:rFonts w:cs="Calibri"/>
              </w:rPr>
            </w:pPr>
            <w:r w:rsidRPr="00BE3495">
              <w:rPr>
                <w:rFonts w:cs="Calibri"/>
              </w:rPr>
              <w:t>Maio a Junho</w:t>
            </w:r>
          </w:p>
        </w:tc>
      </w:tr>
      <w:tr w:rsidR="000668D4" w:rsidRPr="000668D4" w:rsidTr="001D461F">
        <w:tc>
          <w:tcPr>
            <w:tcW w:w="2943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"/>
              </w:rPr>
              <w:t>2. Auditoria Secretarias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"/>
              </w:rPr>
              <w:t>Avaliar Controles</w:t>
            </w:r>
          </w:p>
        </w:tc>
        <w:tc>
          <w:tcPr>
            <w:tcW w:w="6520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>Acompanhar os controles de diversas áreas de risco, analisando registros, planos, demonstrativos e relatórios conforme planilhas de planejamento.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0668D4" w:rsidRPr="000668D4" w:rsidRDefault="000668D4" w:rsidP="00BE3495">
            <w:pPr>
              <w:tabs>
                <w:tab w:val="left" w:pos="2651"/>
              </w:tabs>
              <w:jc w:val="center"/>
              <w:rPr>
                <w:rFonts w:cs="Calibri"/>
              </w:rPr>
            </w:pPr>
          </w:p>
        </w:tc>
      </w:tr>
      <w:tr w:rsidR="000668D4" w:rsidRPr="000668D4" w:rsidTr="001D461F">
        <w:tc>
          <w:tcPr>
            <w:tcW w:w="2943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"/>
              </w:rPr>
              <w:t xml:space="preserve">3. Relatório de auditoria </w:t>
            </w:r>
          </w:p>
        </w:tc>
        <w:tc>
          <w:tcPr>
            <w:tcW w:w="2694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"/>
              </w:rPr>
              <w:t xml:space="preserve">Relatar problemas encontrados </w:t>
            </w:r>
          </w:p>
        </w:tc>
        <w:tc>
          <w:tcPr>
            <w:tcW w:w="6520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 xml:space="preserve">Após analise da documentação e constatado problemas, elabora-se o relatório e encaminha-se para o Prefeito e Secretários, com possíveis </w:t>
            </w:r>
            <w:proofErr w:type="gramStart"/>
            <w:r w:rsidRPr="000668D4">
              <w:rPr>
                <w:rFonts w:cs="Calibri,Bold"/>
                <w:bCs/>
              </w:rPr>
              <w:t>soluções</w:t>
            </w:r>
            <w:proofErr w:type="gramEnd"/>
          </w:p>
        </w:tc>
        <w:tc>
          <w:tcPr>
            <w:tcW w:w="2552" w:type="dxa"/>
          </w:tcPr>
          <w:p w:rsidR="000668D4" w:rsidRPr="000668D4" w:rsidRDefault="000668D4" w:rsidP="00BE3495">
            <w:pPr>
              <w:tabs>
                <w:tab w:val="left" w:pos="2651"/>
              </w:tabs>
              <w:jc w:val="center"/>
              <w:rPr>
                <w:rFonts w:cs="Calibri"/>
              </w:rPr>
            </w:pPr>
            <w:r w:rsidRPr="000668D4">
              <w:rPr>
                <w:rFonts w:cs="Calibri"/>
              </w:rPr>
              <w:t>Novembro</w:t>
            </w:r>
          </w:p>
        </w:tc>
      </w:tr>
      <w:tr w:rsidR="000668D4" w:rsidRPr="000668D4" w:rsidTr="001D461F">
        <w:tc>
          <w:tcPr>
            <w:tcW w:w="2943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spacing w:line="360" w:lineRule="auto"/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>4. Acompanhamento do PPA/LDO/LOA</w:t>
            </w:r>
          </w:p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</w:p>
        </w:tc>
        <w:tc>
          <w:tcPr>
            <w:tcW w:w="2694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>Avaliação do cumprimento das metas previstas no plano plurianual</w:t>
            </w:r>
          </w:p>
        </w:tc>
        <w:tc>
          <w:tcPr>
            <w:tcW w:w="6520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>Análise dos relatórios gerados no Sistema de Monitoramento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:rsidR="000668D4" w:rsidRPr="000668D4" w:rsidRDefault="00BE3495" w:rsidP="00BE3495">
            <w:pPr>
              <w:tabs>
                <w:tab w:val="left" w:pos="2651"/>
              </w:tabs>
              <w:jc w:val="center"/>
              <w:rPr>
                <w:rFonts w:cs="Calibri"/>
                <w:b/>
                <w:u w:val="single"/>
              </w:rPr>
            </w:pPr>
            <w:r>
              <w:rPr>
                <w:rFonts w:cs="Calibri"/>
              </w:rPr>
              <w:t>Janeiro</w:t>
            </w:r>
            <w:r w:rsidR="000668D4" w:rsidRPr="000668D4">
              <w:rPr>
                <w:rFonts w:cs="Calibri"/>
              </w:rPr>
              <w:t xml:space="preserve"> a Dezembro</w:t>
            </w:r>
          </w:p>
        </w:tc>
      </w:tr>
      <w:tr w:rsidR="000668D4" w:rsidRPr="000668D4" w:rsidTr="001D461F">
        <w:tc>
          <w:tcPr>
            <w:tcW w:w="2943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,Bold"/>
                <w:bCs/>
              </w:rPr>
              <w:t xml:space="preserve">5. Analise e pareceres dos processos de admissão, desligamento, concessão de aposentadorias e </w:t>
            </w:r>
            <w:proofErr w:type="gramStart"/>
            <w:r w:rsidRPr="000668D4">
              <w:rPr>
                <w:rFonts w:cs="Calibri,Bold"/>
                <w:bCs/>
              </w:rPr>
              <w:t>pensões</w:t>
            </w:r>
            <w:proofErr w:type="gramEnd"/>
          </w:p>
        </w:tc>
        <w:tc>
          <w:tcPr>
            <w:tcW w:w="2694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 xml:space="preserve">Verificar a exatidão e a suficiência dos dados relativos à admissão, a o desligamento de pessoal e à concessão de aposentadorias e </w:t>
            </w:r>
            <w:proofErr w:type="gramStart"/>
            <w:r w:rsidRPr="000668D4">
              <w:rPr>
                <w:rFonts w:cs="Calibri"/>
              </w:rPr>
              <w:t>pensões</w:t>
            </w:r>
            <w:proofErr w:type="gramEnd"/>
          </w:p>
        </w:tc>
        <w:tc>
          <w:tcPr>
            <w:tcW w:w="6520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>Análise de 110 contratações e conformidade dos processos, verificação da documentação exigida pelo TCE e legalidade.</w:t>
            </w:r>
          </w:p>
        </w:tc>
        <w:tc>
          <w:tcPr>
            <w:tcW w:w="2552" w:type="dxa"/>
          </w:tcPr>
          <w:p w:rsidR="000668D4" w:rsidRPr="000668D4" w:rsidRDefault="00BE3495" w:rsidP="00BE3495">
            <w:pPr>
              <w:tabs>
                <w:tab w:val="left" w:pos="2651"/>
              </w:tabs>
              <w:jc w:val="center"/>
              <w:rPr>
                <w:rFonts w:cs="Calibri"/>
                <w:b/>
                <w:u w:val="single"/>
              </w:rPr>
            </w:pPr>
            <w:r>
              <w:rPr>
                <w:rFonts w:cs="Calibri,Bold"/>
                <w:bCs/>
              </w:rPr>
              <w:t>Janeiro</w:t>
            </w:r>
            <w:r w:rsidR="000668D4" w:rsidRPr="000668D4">
              <w:rPr>
                <w:rFonts w:cs="Calibri,Bold"/>
                <w:bCs/>
              </w:rPr>
              <w:t xml:space="preserve"> a Dezembro</w:t>
            </w:r>
          </w:p>
        </w:tc>
      </w:tr>
      <w:tr w:rsidR="000668D4" w:rsidRPr="000668D4" w:rsidTr="001D461F">
        <w:tc>
          <w:tcPr>
            <w:tcW w:w="2943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spacing w:line="360" w:lineRule="auto"/>
              <w:rPr>
                <w:rFonts w:cs="Calibri"/>
              </w:rPr>
            </w:pPr>
            <w:r w:rsidRPr="000668D4">
              <w:rPr>
                <w:rFonts w:cs="Calibri,Bold"/>
                <w:bCs/>
              </w:rPr>
              <w:t>6. Analise e pareceres sobre prestações de contas de convênios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,Bold"/>
                <w:bCs/>
              </w:rPr>
              <w:t>Verificar</w:t>
            </w:r>
            <w:r w:rsidRPr="000668D4">
              <w:rPr>
                <w:rFonts w:cs="Calibri"/>
              </w:rPr>
              <w:t xml:space="preserve"> documentos apresentados</w:t>
            </w:r>
          </w:p>
        </w:tc>
        <w:tc>
          <w:tcPr>
            <w:tcW w:w="6520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>Análise da legalidade do processo de prestação de contas dos convênios de repasse pra APAE, CASA LAR, HOSPITAL, AFASJ, CTG EOUTROS.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:rsidR="000668D4" w:rsidRPr="000668D4" w:rsidRDefault="00BE3495" w:rsidP="00BE3495">
            <w:pPr>
              <w:tabs>
                <w:tab w:val="left" w:pos="2651"/>
              </w:tabs>
              <w:jc w:val="center"/>
              <w:rPr>
                <w:rFonts w:cs="Calibri"/>
                <w:b/>
                <w:u w:val="single"/>
              </w:rPr>
            </w:pPr>
            <w:r>
              <w:rPr>
                <w:rFonts w:cs="Calibri"/>
              </w:rPr>
              <w:t>Janeiro</w:t>
            </w:r>
            <w:r w:rsidR="000668D4" w:rsidRPr="000668D4">
              <w:rPr>
                <w:rFonts w:cs="Calibri"/>
              </w:rPr>
              <w:t xml:space="preserve"> a Dezembro</w:t>
            </w:r>
          </w:p>
        </w:tc>
      </w:tr>
      <w:tr w:rsidR="000668D4" w:rsidRPr="000668D4" w:rsidTr="001D461F">
        <w:tc>
          <w:tcPr>
            <w:tcW w:w="2943" w:type="dxa"/>
          </w:tcPr>
          <w:p w:rsidR="000668D4" w:rsidRPr="000668D4" w:rsidRDefault="000668D4" w:rsidP="000668D4">
            <w:pPr>
              <w:spacing w:line="360" w:lineRule="auto"/>
              <w:rPr>
                <w:rFonts w:cs="Calibri"/>
              </w:rPr>
            </w:pPr>
            <w:r w:rsidRPr="000668D4">
              <w:rPr>
                <w:rFonts w:cs="Calibri,Bold"/>
                <w:bCs/>
              </w:rPr>
              <w:t>7. Monitoramento do Sistema de Controle Patrimonial</w:t>
            </w:r>
          </w:p>
        </w:tc>
        <w:tc>
          <w:tcPr>
            <w:tcW w:w="2694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 xml:space="preserve">Acompanhar os Controles </w:t>
            </w:r>
          </w:p>
        </w:tc>
        <w:tc>
          <w:tcPr>
            <w:tcW w:w="6520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 xml:space="preserve">Análise do sistema de controle dos bens </w:t>
            </w:r>
            <w:proofErr w:type="spellStart"/>
            <w:r w:rsidRPr="000668D4">
              <w:rPr>
                <w:rFonts w:cs="Calibri"/>
              </w:rPr>
              <w:t>patrimoniados</w:t>
            </w:r>
            <w:proofErr w:type="spellEnd"/>
            <w:r w:rsidRPr="000668D4">
              <w:rPr>
                <w:rFonts w:cs="Calibri"/>
              </w:rPr>
              <w:t xml:space="preserve"> pelo método de amostragem;</w:t>
            </w:r>
          </w:p>
        </w:tc>
        <w:tc>
          <w:tcPr>
            <w:tcW w:w="2552" w:type="dxa"/>
          </w:tcPr>
          <w:p w:rsidR="000668D4" w:rsidRPr="000668D4" w:rsidRDefault="00D91D47" w:rsidP="00BE3495">
            <w:pPr>
              <w:tabs>
                <w:tab w:val="left" w:pos="2651"/>
              </w:tabs>
              <w:jc w:val="center"/>
              <w:rPr>
                <w:rFonts w:cs="Calibri"/>
                <w:b/>
                <w:u w:val="single"/>
              </w:rPr>
            </w:pPr>
            <w:r>
              <w:rPr>
                <w:rFonts w:cs="Calibri"/>
              </w:rPr>
              <w:t>Janeiro</w:t>
            </w:r>
            <w:r w:rsidR="000668D4" w:rsidRPr="000668D4">
              <w:rPr>
                <w:rFonts w:cs="Calibri"/>
              </w:rPr>
              <w:t xml:space="preserve"> a Dezembro</w:t>
            </w:r>
          </w:p>
        </w:tc>
      </w:tr>
      <w:tr w:rsidR="000668D4" w:rsidRPr="000668D4" w:rsidTr="001D461F">
        <w:tc>
          <w:tcPr>
            <w:tcW w:w="2943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spacing w:line="360" w:lineRule="auto"/>
              <w:rPr>
                <w:rFonts w:cs="Calibri"/>
              </w:rPr>
            </w:pPr>
            <w:r w:rsidRPr="000668D4">
              <w:rPr>
                <w:rFonts w:cs="Calibri,Bold"/>
                <w:bCs/>
              </w:rPr>
              <w:t>8. Monitoramento do Sistema de Compras e licitações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>Acompanhar os processos licitatórios</w:t>
            </w:r>
          </w:p>
        </w:tc>
        <w:tc>
          <w:tcPr>
            <w:tcW w:w="6520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 xml:space="preserve">Análise de cada contrato, exame de editais e empresas vencedoras do ano de </w:t>
            </w:r>
            <w:proofErr w:type="gramStart"/>
            <w:r w:rsidRPr="000668D4">
              <w:rPr>
                <w:rFonts w:cs="Calibri"/>
              </w:rPr>
              <w:t>2014</w:t>
            </w:r>
            <w:proofErr w:type="gramEnd"/>
          </w:p>
        </w:tc>
        <w:tc>
          <w:tcPr>
            <w:tcW w:w="2552" w:type="dxa"/>
            <w:shd w:val="clear" w:color="auto" w:fill="DAEEF3" w:themeFill="accent5" w:themeFillTint="33"/>
          </w:tcPr>
          <w:p w:rsidR="000668D4" w:rsidRPr="000668D4" w:rsidRDefault="00BE3495" w:rsidP="00BE3495">
            <w:pPr>
              <w:tabs>
                <w:tab w:val="left" w:pos="2651"/>
              </w:tabs>
              <w:jc w:val="center"/>
              <w:rPr>
                <w:rFonts w:cs="Calibri"/>
                <w:b/>
                <w:u w:val="single"/>
              </w:rPr>
            </w:pPr>
            <w:r>
              <w:rPr>
                <w:rFonts w:cs="Calibri"/>
              </w:rPr>
              <w:t>Janeiro</w:t>
            </w:r>
            <w:r w:rsidR="000668D4" w:rsidRPr="000668D4">
              <w:rPr>
                <w:rFonts w:cs="Calibri"/>
              </w:rPr>
              <w:t xml:space="preserve"> a Dezembro</w:t>
            </w:r>
          </w:p>
        </w:tc>
      </w:tr>
      <w:tr w:rsidR="000668D4" w:rsidRPr="000668D4" w:rsidTr="001D461F">
        <w:tc>
          <w:tcPr>
            <w:tcW w:w="2943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"/>
              </w:rPr>
              <w:t xml:space="preserve">9. Elaboração de Instrução Normativa </w:t>
            </w:r>
          </w:p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</w:p>
        </w:tc>
        <w:tc>
          <w:tcPr>
            <w:tcW w:w="2694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</w:rPr>
              <w:t>Explicitar as normas e leis de maneira mais clara aos servidores públicos</w:t>
            </w:r>
          </w:p>
        </w:tc>
        <w:tc>
          <w:tcPr>
            <w:tcW w:w="6520" w:type="dxa"/>
          </w:tcPr>
          <w:p w:rsidR="000668D4" w:rsidRPr="000668D4" w:rsidRDefault="000668D4" w:rsidP="000668D4">
            <w:pPr>
              <w:spacing w:line="360" w:lineRule="auto"/>
              <w:jc w:val="both"/>
              <w:rPr>
                <w:rFonts w:cs="Calibri"/>
                <w:b/>
                <w:u w:val="single"/>
              </w:rPr>
            </w:pPr>
            <w:r w:rsidRPr="000668D4">
              <w:t>Definir linhas gerais de ações para as funções subordinadas, orientando sobre assuntos relacionados compras e licitações e controle de presença.</w:t>
            </w:r>
          </w:p>
        </w:tc>
        <w:tc>
          <w:tcPr>
            <w:tcW w:w="2552" w:type="dxa"/>
          </w:tcPr>
          <w:p w:rsidR="000668D4" w:rsidRPr="000668D4" w:rsidRDefault="00BE3495" w:rsidP="00BE3495">
            <w:pPr>
              <w:tabs>
                <w:tab w:val="left" w:pos="2651"/>
              </w:tabs>
              <w:jc w:val="center"/>
              <w:rPr>
                <w:rFonts w:cs="Calibri"/>
                <w:b/>
                <w:u w:val="single"/>
              </w:rPr>
            </w:pPr>
            <w:r>
              <w:rPr>
                <w:rFonts w:cs="Calibri"/>
              </w:rPr>
              <w:t>Janeiro</w:t>
            </w:r>
            <w:r w:rsidR="000668D4" w:rsidRPr="000668D4">
              <w:rPr>
                <w:rFonts w:cs="Calibri"/>
              </w:rPr>
              <w:t xml:space="preserve"> a Dezembro</w:t>
            </w:r>
          </w:p>
        </w:tc>
      </w:tr>
      <w:tr w:rsidR="000668D4" w:rsidRPr="000668D4" w:rsidTr="001D461F">
        <w:trPr>
          <w:trHeight w:val="70"/>
        </w:trPr>
        <w:tc>
          <w:tcPr>
            <w:tcW w:w="2943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"/>
              </w:rPr>
              <w:t xml:space="preserve">10. Monitoramento dos serviços públicos </w:t>
            </w:r>
          </w:p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</w:p>
        </w:tc>
        <w:tc>
          <w:tcPr>
            <w:tcW w:w="2694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>Avaliar a satisfação da população atendida</w:t>
            </w:r>
          </w:p>
        </w:tc>
        <w:tc>
          <w:tcPr>
            <w:tcW w:w="6520" w:type="dxa"/>
            <w:shd w:val="clear" w:color="auto" w:fill="DAEEF3" w:themeFill="accent5" w:themeFillTint="33"/>
          </w:tcPr>
          <w:p w:rsidR="000668D4" w:rsidRPr="000668D4" w:rsidRDefault="000668D4" w:rsidP="000668D4">
            <w:pPr>
              <w:spacing w:line="360" w:lineRule="auto"/>
              <w:jc w:val="both"/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 xml:space="preserve">Através de pesquisa “in loco” realizada nos </w:t>
            </w:r>
            <w:r w:rsidRPr="000668D4">
              <w:rPr>
                <w:rFonts w:cs="Calibri"/>
              </w:rPr>
              <w:t>bairros Nossa Senhora de Fatima, Santa Cruz, Hercílio Vieira e Madre Paulina</w:t>
            </w:r>
            <w:r w:rsidRPr="000668D4">
              <w:rPr>
                <w:rFonts w:cs="Calibri,Bold"/>
                <w:bCs/>
              </w:rPr>
              <w:t xml:space="preserve"> entrevista de 20 </w:t>
            </w:r>
            <w:r w:rsidRPr="000668D4">
              <w:rPr>
                <w:rFonts w:cs="Calibri,Bold"/>
                <w:bCs/>
              </w:rPr>
              <w:lastRenderedPageBreak/>
              <w:t>pessoas cada.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:rsidR="000668D4" w:rsidRPr="000668D4" w:rsidRDefault="00BE3495" w:rsidP="00BE3495">
            <w:pPr>
              <w:tabs>
                <w:tab w:val="left" w:pos="2651"/>
              </w:tabs>
              <w:jc w:val="center"/>
              <w:rPr>
                <w:rFonts w:cs="Calibri,Bold"/>
                <w:bCs/>
              </w:rPr>
            </w:pPr>
            <w:r>
              <w:rPr>
                <w:rFonts w:cs="Calibri"/>
              </w:rPr>
              <w:lastRenderedPageBreak/>
              <w:t>Janeiro</w:t>
            </w:r>
            <w:r w:rsidR="000668D4" w:rsidRPr="000668D4">
              <w:rPr>
                <w:rFonts w:cs="Calibri"/>
              </w:rPr>
              <w:t xml:space="preserve"> a dezembro</w:t>
            </w:r>
          </w:p>
        </w:tc>
      </w:tr>
      <w:tr w:rsidR="000668D4" w:rsidRPr="000668D4" w:rsidTr="001D461F">
        <w:tc>
          <w:tcPr>
            <w:tcW w:w="2943" w:type="dxa"/>
            <w:shd w:val="clear" w:color="auto" w:fill="C6D9F1" w:themeFill="text2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jc w:val="center"/>
              <w:rPr>
                <w:rFonts w:cs="Calibri"/>
                <w:b/>
              </w:rPr>
            </w:pPr>
            <w:r w:rsidRPr="000668D4">
              <w:rPr>
                <w:rFonts w:cs="Calibri"/>
                <w:b/>
              </w:rPr>
              <w:lastRenderedPageBreak/>
              <w:t>Atividade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jc w:val="center"/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  <w:b/>
              </w:rPr>
              <w:t>Objetivo</w:t>
            </w:r>
          </w:p>
        </w:tc>
        <w:tc>
          <w:tcPr>
            <w:tcW w:w="6520" w:type="dxa"/>
            <w:shd w:val="clear" w:color="auto" w:fill="C6D9F1" w:themeFill="text2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jc w:val="center"/>
              <w:rPr>
                <w:rFonts w:cs="Calibri"/>
                <w:b/>
                <w:u w:val="single"/>
              </w:rPr>
            </w:pPr>
            <w:r w:rsidRPr="000668D4">
              <w:rPr>
                <w:rFonts w:cs="Calibri"/>
                <w:b/>
              </w:rPr>
              <w:t>Procedimento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0668D4" w:rsidRPr="000668D4" w:rsidRDefault="000668D4" w:rsidP="00BE3495">
            <w:pPr>
              <w:tabs>
                <w:tab w:val="left" w:pos="2651"/>
              </w:tabs>
              <w:jc w:val="center"/>
              <w:rPr>
                <w:rFonts w:cs="Calibri"/>
                <w:b/>
              </w:rPr>
            </w:pPr>
            <w:r w:rsidRPr="000668D4">
              <w:rPr>
                <w:rFonts w:cs="Calibri"/>
                <w:b/>
              </w:rPr>
              <w:t>Período</w:t>
            </w:r>
          </w:p>
        </w:tc>
      </w:tr>
      <w:tr w:rsidR="000668D4" w:rsidRPr="000668D4" w:rsidTr="001D461F">
        <w:tc>
          <w:tcPr>
            <w:tcW w:w="2943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"/>
              </w:rPr>
              <w:t>11. Elaboração de relatório de metas fiscais e apresentação em audiência Pública Câmara de Vereadores</w:t>
            </w:r>
          </w:p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</w:p>
        </w:tc>
        <w:tc>
          <w:tcPr>
            <w:tcW w:w="2694" w:type="dxa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>Cumprimento da lei Complementar 101/2000, que determina apresentação em audiência pública quadrimestral.</w:t>
            </w:r>
          </w:p>
        </w:tc>
        <w:tc>
          <w:tcPr>
            <w:tcW w:w="6520" w:type="dxa"/>
          </w:tcPr>
          <w:p w:rsidR="000668D4" w:rsidRPr="000668D4" w:rsidRDefault="000668D4" w:rsidP="000668D4">
            <w:pPr>
              <w:spacing w:line="360" w:lineRule="auto"/>
              <w:jc w:val="both"/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 xml:space="preserve">Elaboração de relatório do quadrimestre contendo informações sobre o cumprimento de metas fiscais e apresentação na câmara de vereadores, redação de </w:t>
            </w:r>
            <w:proofErr w:type="gramStart"/>
            <w:r w:rsidRPr="000668D4">
              <w:rPr>
                <w:rFonts w:cs="Calibri,Bold"/>
                <w:bCs/>
              </w:rPr>
              <w:t>ata</w:t>
            </w:r>
            <w:proofErr w:type="gramEnd"/>
          </w:p>
        </w:tc>
        <w:tc>
          <w:tcPr>
            <w:tcW w:w="2552" w:type="dxa"/>
          </w:tcPr>
          <w:p w:rsidR="000668D4" w:rsidRPr="000668D4" w:rsidRDefault="00BE3495" w:rsidP="00BE3495">
            <w:pPr>
              <w:tabs>
                <w:tab w:val="left" w:pos="2651"/>
              </w:tabs>
              <w:jc w:val="center"/>
              <w:rPr>
                <w:rFonts w:cs="Calibri,Bold"/>
                <w:bCs/>
              </w:rPr>
            </w:pPr>
            <w:r>
              <w:rPr>
                <w:rFonts w:cs="Calibri"/>
              </w:rPr>
              <w:t xml:space="preserve">Fevereiro, maio, </w:t>
            </w:r>
            <w:proofErr w:type="gramStart"/>
            <w:r>
              <w:rPr>
                <w:rFonts w:cs="Calibri"/>
              </w:rPr>
              <w:t>setembro</w:t>
            </w:r>
            <w:proofErr w:type="gramEnd"/>
          </w:p>
        </w:tc>
      </w:tr>
      <w:tr w:rsidR="000668D4" w:rsidRPr="000668D4" w:rsidTr="001D461F">
        <w:tc>
          <w:tcPr>
            <w:tcW w:w="2943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"/>
              </w:rPr>
              <w:t>12. Monitoramento sala virtual TCE/SC</w:t>
            </w:r>
          </w:p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 xml:space="preserve">Recebimento de comunicados, notificações de alerta, </w:t>
            </w:r>
            <w:proofErr w:type="spellStart"/>
            <w:proofErr w:type="gramStart"/>
            <w:r w:rsidRPr="000668D4">
              <w:rPr>
                <w:rFonts w:cs="Calibri,Bold"/>
                <w:bCs/>
              </w:rPr>
              <w:t>etc</w:t>
            </w:r>
            <w:proofErr w:type="spellEnd"/>
            <w:proofErr w:type="gramEnd"/>
          </w:p>
        </w:tc>
        <w:tc>
          <w:tcPr>
            <w:tcW w:w="6520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spacing w:line="360" w:lineRule="auto"/>
              <w:jc w:val="both"/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 xml:space="preserve">Monitoramento através da pagina </w:t>
            </w:r>
            <w:proofErr w:type="spellStart"/>
            <w:r w:rsidRPr="000668D4">
              <w:rPr>
                <w:rFonts w:cs="Calibri,Bold"/>
                <w:bCs/>
              </w:rPr>
              <w:t>e-Sfinge</w:t>
            </w:r>
            <w:proofErr w:type="spellEnd"/>
            <w:r w:rsidRPr="000668D4">
              <w:rPr>
                <w:rFonts w:cs="Calibri,Bold"/>
                <w:bCs/>
              </w:rPr>
              <w:t xml:space="preserve"> no portal do tribunal de Contas do estado de santa Catarina 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0668D4" w:rsidRPr="000668D4" w:rsidRDefault="00BE3495" w:rsidP="00BE3495">
            <w:pPr>
              <w:tabs>
                <w:tab w:val="left" w:pos="2651"/>
              </w:tabs>
              <w:jc w:val="center"/>
              <w:rPr>
                <w:rFonts w:cs="Calibri,Bold"/>
                <w:bCs/>
              </w:rPr>
            </w:pPr>
            <w:r>
              <w:rPr>
                <w:rFonts w:cs="Calibri"/>
              </w:rPr>
              <w:t xml:space="preserve">Janeiro </w:t>
            </w:r>
            <w:r w:rsidR="000668D4" w:rsidRPr="000668D4">
              <w:rPr>
                <w:rFonts w:cs="Calibri"/>
              </w:rPr>
              <w:t>a dezembro</w:t>
            </w:r>
          </w:p>
        </w:tc>
      </w:tr>
      <w:tr w:rsidR="000668D4" w:rsidRPr="000668D4" w:rsidTr="001D461F">
        <w:tc>
          <w:tcPr>
            <w:tcW w:w="2943" w:type="dxa"/>
            <w:shd w:val="clear" w:color="auto" w:fill="FFFFFF" w:themeFill="background1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"/>
              </w:rPr>
              <w:t>13. Monitoramento Transporte Escolar</w:t>
            </w:r>
          </w:p>
        </w:tc>
        <w:tc>
          <w:tcPr>
            <w:tcW w:w="2694" w:type="dxa"/>
            <w:shd w:val="clear" w:color="auto" w:fill="FFFFFF" w:themeFill="background1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>Cumprimento da Lei 2820/2008</w:t>
            </w:r>
          </w:p>
        </w:tc>
        <w:tc>
          <w:tcPr>
            <w:tcW w:w="6520" w:type="dxa"/>
            <w:shd w:val="clear" w:color="auto" w:fill="FFFFFF" w:themeFill="background1"/>
          </w:tcPr>
          <w:p w:rsidR="000668D4" w:rsidRPr="000668D4" w:rsidRDefault="000668D4" w:rsidP="000668D4">
            <w:pPr>
              <w:spacing w:line="360" w:lineRule="auto"/>
              <w:jc w:val="both"/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>Analise trimestral de relatórios com numero de alunos por empresa, pagamentos e pesquisa sobre numero real de passageiros.</w:t>
            </w:r>
          </w:p>
        </w:tc>
        <w:tc>
          <w:tcPr>
            <w:tcW w:w="2552" w:type="dxa"/>
            <w:shd w:val="clear" w:color="auto" w:fill="FFFFFF" w:themeFill="background1"/>
          </w:tcPr>
          <w:p w:rsidR="000668D4" w:rsidRPr="000668D4" w:rsidRDefault="007E2DCF" w:rsidP="00BE3495">
            <w:pPr>
              <w:tabs>
                <w:tab w:val="left" w:pos="2651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Janeiro a Dezembro</w:t>
            </w:r>
          </w:p>
        </w:tc>
      </w:tr>
      <w:tr w:rsidR="000668D4" w:rsidRPr="000668D4" w:rsidTr="001D461F">
        <w:tc>
          <w:tcPr>
            <w:tcW w:w="2943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"/>
              </w:rPr>
              <w:t xml:space="preserve"> 14. Elaboração de Relatório Bimestral TCE/SC </w:t>
            </w:r>
          </w:p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,Bold"/>
                <w:b/>
                <w:bCs/>
              </w:rPr>
            </w:pPr>
            <w:r w:rsidRPr="000668D4">
              <w:rPr>
                <w:rFonts w:cs="Calibri,Bold"/>
                <w:bCs/>
              </w:rPr>
              <w:t>Enviar para Tribunal de Contas de Santa Catarina o controle dos índices constitucionais e orçamentário</w:t>
            </w:r>
            <w:r w:rsidRPr="000668D4">
              <w:rPr>
                <w:rFonts w:cs="Calibri"/>
              </w:rPr>
              <w:t>;</w:t>
            </w:r>
          </w:p>
        </w:tc>
        <w:tc>
          <w:tcPr>
            <w:tcW w:w="6520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spacing w:line="360" w:lineRule="auto"/>
              <w:jc w:val="both"/>
              <w:rPr>
                <w:rFonts w:cs="Calibri"/>
              </w:rPr>
            </w:pPr>
            <w:r w:rsidRPr="000668D4">
              <w:rPr>
                <w:rFonts w:cs="Calibri,Bold"/>
                <w:bCs/>
              </w:rPr>
              <w:t xml:space="preserve">Elaboração de relatório com números previstos no PPA, execução orçamentária, receita e despesa, gasto com educação mais de 25%, gasto com saúde mais de 15%, gasto com pessoal menos de 54%, gasto com </w:t>
            </w:r>
            <w:proofErr w:type="spellStart"/>
            <w:r w:rsidRPr="000668D4">
              <w:rPr>
                <w:rFonts w:cs="Calibri,Bold"/>
                <w:bCs/>
              </w:rPr>
              <w:t>Fundeb</w:t>
            </w:r>
            <w:proofErr w:type="spellEnd"/>
            <w:r w:rsidRPr="000668D4">
              <w:rPr>
                <w:rFonts w:cs="Calibri,Bold"/>
                <w:bCs/>
              </w:rPr>
              <w:t xml:space="preserve"> mais de 95%.</w:t>
            </w:r>
          </w:p>
          <w:p w:rsidR="000668D4" w:rsidRPr="000668D4" w:rsidRDefault="000668D4" w:rsidP="000668D4">
            <w:pPr>
              <w:tabs>
                <w:tab w:val="left" w:pos="2651"/>
              </w:tabs>
              <w:spacing w:line="360" w:lineRule="auto"/>
              <w:jc w:val="both"/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:rsidR="000668D4" w:rsidRPr="007E2DCF" w:rsidRDefault="007E2DCF" w:rsidP="00BE3495">
            <w:pPr>
              <w:tabs>
                <w:tab w:val="left" w:pos="2651"/>
              </w:tabs>
              <w:jc w:val="center"/>
              <w:rPr>
                <w:rFonts w:cs="Calibri,Bold"/>
                <w:bCs/>
              </w:rPr>
            </w:pPr>
            <w:r w:rsidRPr="007E2DCF">
              <w:rPr>
                <w:rFonts w:cs="Calibri,Bold"/>
                <w:bCs/>
              </w:rPr>
              <w:t>Janeiro, Março,</w:t>
            </w:r>
            <w:r>
              <w:rPr>
                <w:rFonts w:cs="Calibri,Bold"/>
                <w:bCs/>
              </w:rPr>
              <w:t xml:space="preserve"> maio, julho, setembro e</w:t>
            </w:r>
            <w:r w:rsidRPr="007E2DCF">
              <w:rPr>
                <w:rFonts w:cs="Calibri,Bold"/>
                <w:bCs/>
              </w:rPr>
              <w:t xml:space="preserve"> </w:t>
            </w:r>
            <w:proofErr w:type="gramStart"/>
            <w:r w:rsidRPr="007E2DCF">
              <w:rPr>
                <w:rFonts w:cs="Calibri,Bold"/>
                <w:bCs/>
              </w:rPr>
              <w:t>novembro</w:t>
            </w:r>
            <w:proofErr w:type="gramEnd"/>
            <w:r w:rsidRPr="007E2DCF">
              <w:rPr>
                <w:rFonts w:cs="Calibri,Bold"/>
                <w:bCs/>
              </w:rPr>
              <w:t xml:space="preserve"> </w:t>
            </w:r>
          </w:p>
        </w:tc>
      </w:tr>
      <w:tr w:rsidR="000668D4" w:rsidRPr="000668D4" w:rsidTr="001D461F">
        <w:tc>
          <w:tcPr>
            <w:tcW w:w="2943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"/>
              </w:rPr>
            </w:pPr>
            <w:r w:rsidRPr="000668D4">
              <w:rPr>
                <w:rFonts w:cs="Calibri"/>
              </w:rPr>
              <w:t>15. Capacitação de Conselheiros municipais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tabs>
                <w:tab w:val="left" w:pos="2651"/>
              </w:tabs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 xml:space="preserve">Parecer sobre gastos públicos </w:t>
            </w:r>
          </w:p>
        </w:tc>
        <w:tc>
          <w:tcPr>
            <w:tcW w:w="6520" w:type="dxa"/>
            <w:shd w:val="clear" w:color="auto" w:fill="DBE5F1" w:themeFill="accent1" w:themeFillTint="33"/>
          </w:tcPr>
          <w:p w:rsidR="000668D4" w:rsidRPr="000668D4" w:rsidRDefault="000668D4" w:rsidP="000668D4">
            <w:pPr>
              <w:spacing w:line="360" w:lineRule="auto"/>
              <w:jc w:val="both"/>
              <w:rPr>
                <w:rFonts w:cs="Calibri,Bold"/>
                <w:bCs/>
              </w:rPr>
            </w:pPr>
            <w:r w:rsidRPr="000668D4">
              <w:rPr>
                <w:rFonts w:cs="Calibri,Bold"/>
                <w:bCs/>
              </w:rPr>
              <w:t xml:space="preserve">Capacitar os conselheiros de como proceder para fazer em reunião o parecer sobre os gastos do ano nas secretarias de Educação, Assistência Social e Saúde. 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0668D4" w:rsidRPr="000668D4" w:rsidRDefault="007E2DCF" w:rsidP="00BE3495">
            <w:pPr>
              <w:tabs>
                <w:tab w:val="left" w:pos="2651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Setembro </w:t>
            </w:r>
          </w:p>
        </w:tc>
      </w:tr>
      <w:tr w:rsidR="007E3F1C" w:rsidRPr="000668D4" w:rsidTr="001D461F">
        <w:tc>
          <w:tcPr>
            <w:tcW w:w="2943" w:type="dxa"/>
            <w:shd w:val="clear" w:color="auto" w:fill="DBE5F1" w:themeFill="accent1" w:themeFillTint="33"/>
          </w:tcPr>
          <w:p w:rsidR="007E3F1C" w:rsidRPr="000668D4" w:rsidRDefault="00D91D47" w:rsidP="00D91D47">
            <w:pPr>
              <w:tabs>
                <w:tab w:val="left" w:pos="2651"/>
              </w:tabs>
              <w:rPr>
                <w:rFonts w:cs="Calibri"/>
              </w:rPr>
            </w:pPr>
            <w:r>
              <w:rPr>
                <w:rFonts w:cs="Calibri"/>
              </w:rPr>
              <w:t>16. Gestão Transparência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7E3F1C" w:rsidRPr="000668D4" w:rsidRDefault="007E3F1C" w:rsidP="000668D4">
            <w:pPr>
              <w:tabs>
                <w:tab w:val="left" w:pos="2651"/>
              </w:tabs>
              <w:rPr>
                <w:rFonts w:cs="Calibri,Bold"/>
                <w:bCs/>
              </w:rPr>
            </w:pPr>
            <w:r>
              <w:rPr>
                <w:rFonts w:cs="Calibri,Bold"/>
                <w:bCs/>
              </w:rPr>
              <w:t>Cumprimento da lei 12.527/11</w:t>
            </w:r>
          </w:p>
        </w:tc>
        <w:tc>
          <w:tcPr>
            <w:tcW w:w="6520" w:type="dxa"/>
            <w:shd w:val="clear" w:color="auto" w:fill="DBE5F1" w:themeFill="accent1" w:themeFillTint="33"/>
          </w:tcPr>
          <w:p w:rsidR="007E3F1C" w:rsidRPr="000668D4" w:rsidRDefault="007E3F1C" w:rsidP="000668D4">
            <w:pPr>
              <w:spacing w:line="360" w:lineRule="auto"/>
              <w:jc w:val="both"/>
              <w:rPr>
                <w:rFonts w:cs="Calibri,Bold"/>
                <w:bCs/>
              </w:rPr>
            </w:pPr>
            <w:r>
              <w:rPr>
                <w:rFonts w:cs="Calibri,Bold"/>
                <w:bCs/>
              </w:rPr>
              <w:t xml:space="preserve">Atualização do portal transparência, portal do cidadão, serviços de </w:t>
            </w:r>
            <w:r w:rsidR="00D91D47">
              <w:rPr>
                <w:rFonts w:cs="Calibri,Bold"/>
                <w:bCs/>
              </w:rPr>
              <w:t>informação eletrônica e presencial</w:t>
            </w:r>
            <w:r>
              <w:rPr>
                <w:rFonts w:cs="Calibri,Bold"/>
                <w:bCs/>
              </w:rPr>
              <w:t>.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7E3F1C" w:rsidRDefault="007E3F1C" w:rsidP="00BE3495">
            <w:pPr>
              <w:tabs>
                <w:tab w:val="left" w:pos="2651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Janeiro a Dezembro</w:t>
            </w:r>
          </w:p>
        </w:tc>
      </w:tr>
    </w:tbl>
    <w:p w:rsidR="00241789" w:rsidRDefault="00241789" w:rsidP="00754B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80FE1" w:rsidRDefault="00580FE1" w:rsidP="00754B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54BA3" w:rsidRDefault="00754BA3" w:rsidP="00754B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54BA3" w:rsidRDefault="00754BA3" w:rsidP="00754B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54BA3" w:rsidRDefault="00754BA3" w:rsidP="00754B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54BA3" w:rsidRDefault="00754BA3" w:rsidP="00754B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HUMBERTO LUIZ BRIGHENTI                         MANOEL NASCIMENTO PEREIRA</w:t>
      </w:r>
    </w:p>
    <w:p w:rsidR="00754BA3" w:rsidRDefault="00754BA3" w:rsidP="00754B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Prefeito Municipal          </w:t>
      </w:r>
      <w:r w:rsidR="00FF7720">
        <w:rPr>
          <w:rFonts w:cs="Times New Roman"/>
          <w:sz w:val="24"/>
          <w:szCs w:val="24"/>
        </w:rPr>
        <w:t xml:space="preserve">                           </w:t>
      </w:r>
      <w:r>
        <w:rPr>
          <w:rFonts w:cs="Times New Roman"/>
          <w:sz w:val="24"/>
          <w:szCs w:val="24"/>
        </w:rPr>
        <w:t>Secretário de Controle Interno</w:t>
      </w:r>
    </w:p>
    <w:sectPr w:rsidR="00754BA3" w:rsidSect="00241789">
      <w:pgSz w:w="15840" w:h="12240" w:orient="landscape"/>
      <w:pgMar w:top="1080" w:right="1440" w:bottom="108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52D"/>
    <w:multiLevelType w:val="hybridMultilevel"/>
    <w:tmpl w:val="23283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53481"/>
    <w:multiLevelType w:val="hybridMultilevel"/>
    <w:tmpl w:val="D1B6C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5D02"/>
    <w:multiLevelType w:val="multilevel"/>
    <w:tmpl w:val="C5D4D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03A52"/>
    <w:multiLevelType w:val="hybridMultilevel"/>
    <w:tmpl w:val="79309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203BE"/>
    <w:multiLevelType w:val="hybridMultilevel"/>
    <w:tmpl w:val="F1C495E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80D095A"/>
    <w:multiLevelType w:val="hybridMultilevel"/>
    <w:tmpl w:val="FDF8AF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819E0"/>
    <w:multiLevelType w:val="hybridMultilevel"/>
    <w:tmpl w:val="9A5429B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112F2D"/>
    <w:multiLevelType w:val="hybridMultilevel"/>
    <w:tmpl w:val="552ABA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81FAA"/>
    <w:multiLevelType w:val="hybridMultilevel"/>
    <w:tmpl w:val="EB663108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790BDB"/>
    <w:multiLevelType w:val="multilevel"/>
    <w:tmpl w:val="E48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9C3B12"/>
    <w:multiLevelType w:val="hybridMultilevel"/>
    <w:tmpl w:val="DA4ACC3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2D5F45"/>
    <w:multiLevelType w:val="hybridMultilevel"/>
    <w:tmpl w:val="886AF3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14C80"/>
    <w:multiLevelType w:val="hybridMultilevel"/>
    <w:tmpl w:val="1A382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E6B6F"/>
    <w:multiLevelType w:val="hybridMultilevel"/>
    <w:tmpl w:val="B600A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5465B"/>
    <w:multiLevelType w:val="hybridMultilevel"/>
    <w:tmpl w:val="9E4E86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5042C"/>
    <w:multiLevelType w:val="hybridMultilevel"/>
    <w:tmpl w:val="53C28D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D122FB"/>
    <w:multiLevelType w:val="hybridMultilevel"/>
    <w:tmpl w:val="6AA0D8B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C238A0"/>
    <w:multiLevelType w:val="hybridMultilevel"/>
    <w:tmpl w:val="316EC6D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D95921"/>
    <w:multiLevelType w:val="hybridMultilevel"/>
    <w:tmpl w:val="3BB878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1"/>
  </w:num>
  <w:num w:numId="13">
    <w:abstractNumId w:val="15"/>
  </w:num>
  <w:num w:numId="14">
    <w:abstractNumId w:val="5"/>
  </w:num>
  <w:num w:numId="15">
    <w:abstractNumId w:val="12"/>
  </w:num>
  <w:num w:numId="16">
    <w:abstractNumId w:val="18"/>
  </w:num>
  <w:num w:numId="17">
    <w:abstractNumId w:val="14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33"/>
    <w:rsid w:val="000004B9"/>
    <w:rsid w:val="00042A79"/>
    <w:rsid w:val="00055B7F"/>
    <w:rsid w:val="000668D4"/>
    <w:rsid w:val="00094BD6"/>
    <w:rsid w:val="000A17C4"/>
    <w:rsid w:val="000B48E9"/>
    <w:rsid w:val="000C509F"/>
    <w:rsid w:val="000C52A2"/>
    <w:rsid w:val="000D5ACD"/>
    <w:rsid w:val="0010046E"/>
    <w:rsid w:val="00110F34"/>
    <w:rsid w:val="00140BAE"/>
    <w:rsid w:val="00144A4A"/>
    <w:rsid w:val="00155FD2"/>
    <w:rsid w:val="00162252"/>
    <w:rsid w:val="00163E9D"/>
    <w:rsid w:val="0017756B"/>
    <w:rsid w:val="0018168A"/>
    <w:rsid w:val="001C3010"/>
    <w:rsid w:val="001D461F"/>
    <w:rsid w:val="002029B7"/>
    <w:rsid w:val="00206351"/>
    <w:rsid w:val="00217056"/>
    <w:rsid w:val="00241789"/>
    <w:rsid w:val="00254992"/>
    <w:rsid w:val="0026409A"/>
    <w:rsid w:val="00293A4E"/>
    <w:rsid w:val="002A0944"/>
    <w:rsid w:val="002C34B3"/>
    <w:rsid w:val="0033354D"/>
    <w:rsid w:val="00334819"/>
    <w:rsid w:val="00337E3D"/>
    <w:rsid w:val="00346DB7"/>
    <w:rsid w:val="00355FE7"/>
    <w:rsid w:val="00386865"/>
    <w:rsid w:val="003916B8"/>
    <w:rsid w:val="003B61C9"/>
    <w:rsid w:val="003F5D60"/>
    <w:rsid w:val="00410436"/>
    <w:rsid w:val="00424424"/>
    <w:rsid w:val="004462F6"/>
    <w:rsid w:val="00450933"/>
    <w:rsid w:val="004762BB"/>
    <w:rsid w:val="004F68CE"/>
    <w:rsid w:val="005208E3"/>
    <w:rsid w:val="00537133"/>
    <w:rsid w:val="0057233C"/>
    <w:rsid w:val="0057436D"/>
    <w:rsid w:val="00580FE1"/>
    <w:rsid w:val="00586699"/>
    <w:rsid w:val="005A2E34"/>
    <w:rsid w:val="005C53CA"/>
    <w:rsid w:val="005D1B32"/>
    <w:rsid w:val="005D3C8C"/>
    <w:rsid w:val="005F0025"/>
    <w:rsid w:val="005F59A7"/>
    <w:rsid w:val="0060557F"/>
    <w:rsid w:val="00605FDA"/>
    <w:rsid w:val="00607013"/>
    <w:rsid w:val="00661C26"/>
    <w:rsid w:val="0067132F"/>
    <w:rsid w:val="006909A0"/>
    <w:rsid w:val="00692F6D"/>
    <w:rsid w:val="006A2CD2"/>
    <w:rsid w:val="006D7752"/>
    <w:rsid w:val="006F33B8"/>
    <w:rsid w:val="006F52C2"/>
    <w:rsid w:val="007515EE"/>
    <w:rsid w:val="00754BA3"/>
    <w:rsid w:val="007631E1"/>
    <w:rsid w:val="007708B9"/>
    <w:rsid w:val="00790EB9"/>
    <w:rsid w:val="007A2BF5"/>
    <w:rsid w:val="007E2DCF"/>
    <w:rsid w:val="007E3590"/>
    <w:rsid w:val="007E3F1C"/>
    <w:rsid w:val="007E55C2"/>
    <w:rsid w:val="007E786D"/>
    <w:rsid w:val="007F66FA"/>
    <w:rsid w:val="008134D0"/>
    <w:rsid w:val="00852D28"/>
    <w:rsid w:val="0085787C"/>
    <w:rsid w:val="008752EB"/>
    <w:rsid w:val="008A0B2B"/>
    <w:rsid w:val="008A155B"/>
    <w:rsid w:val="008B2DC4"/>
    <w:rsid w:val="008C679F"/>
    <w:rsid w:val="008F6EE7"/>
    <w:rsid w:val="00931935"/>
    <w:rsid w:val="009419AB"/>
    <w:rsid w:val="00962F29"/>
    <w:rsid w:val="009653EF"/>
    <w:rsid w:val="009A327C"/>
    <w:rsid w:val="009C201C"/>
    <w:rsid w:val="009C772F"/>
    <w:rsid w:val="009D1286"/>
    <w:rsid w:val="00A23533"/>
    <w:rsid w:val="00A658B1"/>
    <w:rsid w:val="00A735A9"/>
    <w:rsid w:val="00A810FB"/>
    <w:rsid w:val="00AB2609"/>
    <w:rsid w:val="00AC361E"/>
    <w:rsid w:val="00AD3880"/>
    <w:rsid w:val="00AD4B7E"/>
    <w:rsid w:val="00B210DA"/>
    <w:rsid w:val="00B25894"/>
    <w:rsid w:val="00B33DE5"/>
    <w:rsid w:val="00B44D30"/>
    <w:rsid w:val="00B45B77"/>
    <w:rsid w:val="00B75D9E"/>
    <w:rsid w:val="00B77923"/>
    <w:rsid w:val="00BB397D"/>
    <w:rsid w:val="00BC06F5"/>
    <w:rsid w:val="00BC35DE"/>
    <w:rsid w:val="00BD3B4F"/>
    <w:rsid w:val="00BE3495"/>
    <w:rsid w:val="00BF1A23"/>
    <w:rsid w:val="00BF7FED"/>
    <w:rsid w:val="00C11217"/>
    <w:rsid w:val="00C60B13"/>
    <w:rsid w:val="00C66299"/>
    <w:rsid w:val="00C74C34"/>
    <w:rsid w:val="00C9499B"/>
    <w:rsid w:val="00CA7B5F"/>
    <w:rsid w:val="00CC57B1"/>
    <w:rsid w:val="00CD182C"/>
    <w:rsid w:val="00CD2935"/>
    <w:rsid w:val="00CE4103"/>
    <w:rsid w:val="00CF1C3B"/>
    <w:rsid w:val="00D00599"/>
    <w:rsid w:val="00D20748"/>
    <w:rsid w:val="00D27F44"/>
    <w:rsid w:val="00D6514A"/>
    <w:rsid w:val="00D72554"/>
    <w:rsid w:val="00D91D47"/>
    <w:rsid w:val="00D95BE0"/>
    <w:rsid w:val="00D968A1"/>
    <w:rsid w:val="00E04C1E"/>
    <w:rsid w:val="00E0745E"/>
    <w:rsid w:val="00E11E40"/>
    <w:rsid w:val="00E326C5"/>
    <w:rsid w:val="00E54ED8"/>
    <w:rsid w:val="00E5514A"/>
    <w:rsid w:val="00E64CAD"/>
    <w:rsid w:val="00E91482"/>
    <w:rsid w:val="00E91971"/>
    <w:rsid w:val="00E97C8E"/>
    <w:rsid w:val="00EA7B9E"/>
    <w:rsid w:val="00ED40A2"/>
    <w:rsid w:val="00ED4A60"/>
    <w:rsid w:val="00ED51BE"/>
    <w:rsid w:val="00ED7340"/>
    <w:rsid w:val="00EE3B8F"/>
    <w:rsid w:val="00EE4CB2"/>
    <w:rsid w:val="00F1136C"/>
    <w:rsid w:val="00F22163"/>
    <w:rsid w:val="00F24377"/>
    <w:rsid w:val="00F301CC"/>
    <w:rsid w:val="00F36870"/>
    <w:rsid w:val="00F37C00"/>
    <w:rsid w:val="00F44F25"/>
    <w:rsid w:val="00F47126"/>
    <w:rsid w:val="00F75564"/>
    <w:rsid w:val="00FA2608"/>
    <w:rsid w:val="00FC1057"/>
    <w:rsid w:val="00FC4287"/>
    <w:rsid w:val="00FC431F"/>
    <w:rsid w:val="00FD6105"/>
    <w:rsid w:val="00FF06E8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01C"/>
  </w:style>
  <w:style w:type="paragraph" w:styleId="Ttulo1">
    <w:name w:val="heading 1"/>
    <w:basedOn w:val="Normal"/>
    <w:next w:val="Normal"/>
    <w:link w:val="Ttulo1Char"/>
    <w:uiPriority w:val="9"/>
    <w:qFormat/>
    <w:rsid w:val="007E5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97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D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91482"/>
  </w:style>
  <w:style w:type="character" w:styleId="Hyperlink">
    <w:name w:val="Hyperlink"/>
    <w:basedOn w:val="Fontepargpadro"/>
    <w:uiPriority w:val="99"/>
    <w:semiHidden/>
    <w:unhideWhenUsed/>
    <w:rsid w:val="00E9148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1C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E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C1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06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01C"/>
  </w:style>
  <w:style w:type="paragraph" w:styleId="Ttulo1">
    <w:name w:val="heading 1"/>
    <w:basedOn w:val="Normal"/>
    <w:next w:val="Normal"/>
    <w:link w:val="Ttulo1Char"/>
    <w:uiPriority w:val="9"/>
    <w:qFormat/>
    <w:rsid w:val="007E5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97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D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91482"/>
  </w:style>
  <w:style w:type="character" w:styleId="Hyperlink">
    <w:name w:val="Hyperlink"/>
    <w:basedOn w:val="Fontepargpadro"/>
    <w:uiPriority w:val="99"/>
    <w:semiHidden/>
    <w:unhideWhenUsed/>
    <w:rsid w:val="00E9148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1C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E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FC1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06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BA53-C17B-4790-845A-57A7D493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6581</Words>
  <Characters>35543</Characters>
  <Application>Microsoft Office Word</Application>
  <DocSecurity>0</DocSecurity>
  <Lines>296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Carlos Lira de Brito</dc:creator>
  <cp:lastModifiedBy>Virgilio Carlos Lira de Brito</cp:lastModifiedBy>
  <cp:revision>2</cp:revision>
  <cp:lastPrinted>2016-07-25T17:49:00Z</cp:lastPrinted>
  <dcterms:created xsi:type="dcterms:W3CDTF">2017-05-22T13:28:00Z</dcterms:created>
  <dcterms:modified xsi:type="dcterms:W3CDTF">2017-05-22T13:28:00Z</dcterms:modified>
</cp:coreProperties>
</file>